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6F37" w14:textId="77777777" w:rsidR="00493A2E" w:rsidRDefault="00493A2E" w:rsidP="00F53F73">
      <w:pPr>
        <w:jc w:val="center"/>
        <w:rPr>
          <w:b/>
          <w:sz w:val="28"/>
          <w:szCs w:val="28"/>
          <w:lang w:val="en-GB"/>
        </w:rPr>
      </w:pPr>
    </w:p>
    <w:p w14:paraId="49CD6658" w14:textId="40D71679" w:rsidR="00493A2E" w:rsidRDefault="00493A2E" w:rsidP="00F53F73">
      <w:pPr>
        <w:jc w:val="center"/>
        <w:rPr>
          <w:b/>
          <w:sz w:val="28"/>
          <w:szCs w:val="28"/>
          <w:lang w:val="en-GB"/>
        </w:rPr>
      </w:pPr>
      <w:r>
        <w:rPr>
          <w:b/>
          <w:sz w:val="28"/>
          <w:szCs w:val="28"/>
          <w:lang w:val="en-GB"/>
        </w:rPr>
        <w:t xml:space="preserve">PHỤ LỤC </w:t>
      </w:r>
    </w:p>
    <w:p w14:paraId="1685E5CB" w14:textId="61C8193E" w:rsidR="00493A2E" w:rsidRDefault="00493A2E" w:rsidP="00F53F73">
      <w:pPr>
        <w:jc w:val="center"/>
        <w:rPr>
          <w:bCs/>
          <w:i/>
          <w:iCs/>
          <w:lang w:val="en-GB"/>
        </w:rPr>
      </w:pPr>
      <w:r w:rsidRPr="00493A2E">
        <w:rPr>
          <w:bCs/>
          <w:i/>
          <w:iCs/>
          <w:lang w:val="en-GB"/>
        </w:rPr>
        <w:t xml:space="preserve">(Đính kèm Công văn số </w:t>
      </w:r>
      <w:r>
        <w:rPr>
          <w:bCs/>
          <w:i/>
          <w:iCs/>
          <w:lang w:val="en-GB"/>
        </w:rPr>
        <w:t xml:space="preserve">        ngày 28 tháng 7 năm 2021</w:t>
      </w:r>
      <w:r w:rsidRPr="00493A2E">
        <w:rPr>
          <w:bCs/>
          <w:i/>
          <w:iCs/>
          <w:lang w:val="en-GB"/>
        </w:rPr>
        <w:t>)</w:t>
      </w:r>
    </w:p>
    <w:p w14:paraId="70EE04AB" w14:textId="77777777" w:rsidR="00493A2E" w:rsidRPr="00493A2E" w:rsidRDefault="00493A2E" w:rsidP="00F53F73">
      <w:pPr>
        <w:jc w:val="center"/>
        <w:rPr>
          <w:bCs/>
          <w:i/>
          <w:iCs/>
          <w:lang w:val="en-GB"/>
        </w:rPr>
      </w:pPr>
    </w:p>
    <w:p w14:paraId="22B55F01" w14:textId="77777777" w:rsidR="00F118EB" w:rsidRDefault="00195D69" w:rsidP="00F118EB">
      <w:pPr>
        <w:jc w:val="center"/>
        <w:rPr>
          <w:b/>
          <w:sz w:val="28"/>
          <w:szCs w:val="28"/>
          <w:lang w:val="en-GB"/>
        </w:rPr>
      </w:pPr>
      <w:r w:rsidRPr="00D10CF4">
        <w:rPr>
          <w:b/>
          <w:sz w:val="28"/>
          <w:szCs w:val="28"/>
          <w:lang w:val="en-GB"/>
        </w:rPr>
        <w:t xml:space="preserve">GÓP Ý </w:t>
      </w:r>
      <w:r w:rsidR="000D5176">
        <w:rPr>
          <w:b/>
          <w:sz w:val="28"/>
          <w:szCs w:val="28"/>
          <w:lang w:val="en-GB"/>
        </w:rPr>
        <w:t xml:space="preserve">CHI TIẾT </w:t>
      </w:r>
      <w:r w:rsidR="00493A2E">
        <w:rPr>
          <w:b/>
          <w:sz w:val="28"/>
          <w:szCs w:val="28"/>
          <w:lang w:val="en-GB"/>
        </w:rPr>
        <w:t xml:space="preserve">CỦA HIỆP HỘI THƯƠNG MẠI MỸ </w:t>
      </w:r>
      <w:r w:rsidR="00F118EB">
        <w:rPr>
          <w:b/>
          <w:sz w:val="28"/>
          <w:szCs w:val="28"/>
          <w:lang w:val="en-GB"/>
        </w:rPr>
        <w:t>VỀ</w:t>
      </w:r>
      <w:r w:rsidR="00D10CF4" w:rsidRPr="00D10CF4">
        <w:rPr>
          <w:b/>
          <w:sz w:val="28"/>
          <w:szCs w:val="28"/>
          <w:lang w:val="en-GB"/>
        </w:rPr>
        <w:t xml:space="preserve"> </w:t>
      </w:r>
      <w:r w:rsidRPr="00D10CF4">
        <w:rPr>
          <w:b/>
          <w:sz w:val="28"/>
          <w:szCs w:val="28"/>
          <w:lang w:val="en-GB"/>
        </w:rPr>
        <w:t xml:space="preserve">DỰ THẢO NGHỊ ĐỊNH </w:t>
      </w:r>
    </w:p>
    <w:p w14:paraId="60A3C9C0" w14:textId="77777777" w:rsidR="00F118EB" w:rsidRDefault="00195D69" w:rsidP="00F118EB">
      <w:pPr>
        <w:jc w:val="center"/>
        <w:rPr>
          <w:b/>
          <w:sz w:val="28"/>
          <w:szCs w:val="28"/>
          <w:lang w:val="en-GB"/>
        </w:rPr>
      </w:pPr>
      <w:r w:rsidRPr="00D10CF4">
        <w:rPr>
          <w:b/>
          <w:sz w:val="28"/>
          <w:szCs w:val="28"/>
          <w:lang w:val="en-GB"/>
        </w:rPr>
        <w:t xml:space="preserve">QUY ĐỊNH </w:t>
      </w:r>
      <w:r w:rsidR="00D10CF4" w:rsidRPr="00D10CF4">
        <w:rPr>
          <w:b/>
          <w:sz w:val="28"/>
          <w:szCs w:val="28"/>
          <w:lang w:val="en-GB"/>
        </w:rPr>
        <w:t>CHI TIẾT MỘT SỐ ĐIỀU CỦA LUẬT BẢO VỆ M</w:t>
      </w:r>
      <w:r w:rsidR="000D5176">
        <w:rPr>
          <w:b/>
          <w:sz w:val="28"/>
          <w:szCs w:val="28"/>
          <w:lang w:val="en-GB"/>
        </w:rPr>
        <w:t>Ô</w:t>
      </w:r>
      <w:r w:rsidR="00D10CF4" w:rsidRPr="00D10CF4">
        <w:rPr>
          <w:b/>
          <w:sz w:val="28"/>
          <w:szCs w:val="28"/>
          <w:lang w:val="en-GB"/>
        </w:rPr>
        <w:t>I TRƯỜNG 2020</w:t>
      </w:r>
      <w:r w:rsidR="00F118EB" w:rsidRPr="00F118EB">
        <w:rPr>
          <w:b/>
          <w:sz w:val="28"/>
          <w:szCs w:val="28"/>
          <w:lang w:val="en-GB"/>
        </w:rPr>
        <w:t xml:space="preserve"> </w:t>
      </w:r>
    </w:p>
    <w:p w14:paraId="2A95D288" w14:textId="2DE39E0F" w:rsidR="00F53F73" w:rsidRDefault="00F118EB" w:rsidP="00F118EB">
      <w:pPr>
        <w:jc w:val="center"/>
        <w:rPr>
          <w:b/>
          <w:sz w:val="28"/>
          <w:szCs w:val="28"/>
          <w:lang w:val="en-GB"/>
        </w:rPr>
      </w:pPr>
      <w:r>
        <w:rPr>
          <w:b/>
          <w:sz w:val="28"/>
          <w:szCs w:val="28"/>
          <w:lang w:val="en-GB"/>
        </w:rPr>
        <w:t xml:space="preserve">CHƯƠNG VII: </w:t>
      </w:r>
      <w:r w:rsidRPr="00D10CF4">
        <w:rPr>
          <w:b/>
          <w:sz w:val="28"/>
          <w:szCs w:val="28"/>
          <w:lang w:val="en-GB"/>
        </w:rPr>
        <w:t xml:space="preserve">TRÁCH NHIỆM </w:t>
      </w:r>
      <w:r>
        <w:rPr>
          <w:b/>
          <w:sz w:val="28"/>
          <w:szCs w:val="28"/>
          <w:lang w:val="en-GB"/>
        </w:rPr>
        <w:t xml:space="preserve">TÁI CHẾ, XỬ LÝ SẢN PHẨM, BAO BÌ THẢI BỎ </w:t>
      </w:r>
      <w:r w:rsidRPr="00D10CF4">
        <w:rPr>
          <w:b/>
          <w:sz w:val="28"/>
          <w:szCs w:val="28"/>
          <w:lang w:val="en-GB"/>
        </w:rPr>
        <w:t xml:space="preserve">CỦA </w:t>
      </w:r>
      <w:r>
        <w:rPr>
          <w:b/>
          <w:sz w:val="28"/>
          <w:szCs w:val="28"/>
          <w:lang w:val="en-GB"/>
        </w:rPr>
        <w:t xml:space="preserve">TỔ CHỨC, CÁ NHÂN </w:t>
      </w:r>
      <w:r w:rsidRPr="00D10CF4">
        <w:rPr>
          <w:b/>
          <w:sz w:val="28"/>
          <w:szCs w:val="28"/>
          <w:lang w:val="en-GB"/>
        </w:rPr>
        <w:t>SẢN XUẤT</w:t>
      </w:r>
      <w:r>
        <w:rPr>
          <w:b/>
          <w:sz w:val="28"/>
          <w:szCs w:val="28"/>
          <w:lang w:val="en-GB"/>
        </w:rPr>
        <w:t>, N</w:t>
      </w:r>
      <w:r w:rsidRPr="00D10CF4">
        <w:rPr>
          <w:b/>
          <w:sz w:val="28"/>
          <w:szCs w:val="28"/>
          <w:lang w:val="en-GB"/>
        </w:rPr>
        <w:t>HẬP KHẨU</w:t>
      </w:r>
    </w:p>
    <w:p w14:paraId="3F0A4C02" w14:textId="5F390943" w:rsidR="00F53F73" w:rsidRDefault="00493A2E" w:rsidP="00F53F73">
      <w:pPr>
        <w:jc w:val="center"/>
        <w:rPr>
          <w:b/>
          <w:sz w:val="30"/>
          <w:szCs w:val="30"/>
          <w:lang w:val="en-GB"/>
        </w:rPr>
      </w:pPr>
      <w:r w:rsidRPr="00493A2E">
        <w:rPr>
          <w:b/>
          <w:noProof/>
          <w:sz w:val="30"/>
          <w:szCs w:val="30"/>
          <w:lang w:val="en-GB"/>
        </w:rPr>
        <mc:AlternateContent>
          <mc:Choice Requires="wps">
            <w:drawing>
              <wp:anchor distT="0" distB="0" distL="114300" distR="114300" simplePos="0" relativeHeight="251659264" behindDoc="0" locked="0" layoutInCell="1" allowOverlap="1" wp14:anchorId="2A254820" wp14:editId="5CBC50BB">
                <wp:simplePos x="0" y="0"/>
                <wp:positionH relativeFrom="column">
                  <wp:posOffset>3727450</wp:posOffset>
                </wp:positionH>
                <wp:positionV relativeFrom="paragraph">
                  <wp:posOffset>91440</wp:posOffset>
                </wp:positionV>
                <wp:extent cx="1397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9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4204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3.5pt,7.2pt" to="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" strokecolor="black [3213]" strokeweight=".5pt">
                <v:stroke joinstyle="miter"/>
              </v:line>
            </w:pict>
          </mc:Fallback>
        </mc:AlternateContent>
      </w:r>
    </w:p>
    <w:p w14:paraId="262B40DE" w14:textId="77777777" w:rsidR="00D967C5" w:rsidRPr="00F118EB" w:rsidRDefault="00D967C5">
      <w:pPr>
        <w:ind w:left="360"/>
        <w:jc w:val="both"/>
        <w:rPr>
          <w:sz w:val="22"/>
          <w:szCs w:val="22"/>
          <w:lang w:val="en-GB"/>
        </w:rPr>
      </w:pPr>
    </w:p>
    <w:tbl>
      <w:tblPr>
        <w:tblStyle w:val="TableGrid"/>
        <w:tblpPr w:leftFromText="180" w:rightFromText="180" w:vertAnchor="text" w:tblpXSpec="right" w:tblpY="1"/>
        <w:tblOverlap w:val="never"/>
        <w:tblW w:w="15025" w:type="dxa"/>
        <w:tblLayout w:type="fixed"/>
        <w:tblLook w:val="04A0" w:firstRow="1" w:lastRow="0" w:firstColumn="1" w:lastColumn="0" w:noHBand="0" w:noVBand="1"/>
      </w:tblPr>
      <w:tblGrid>
        <w:gridCol w:w="715"/>
        <w:gridCol w:w="1259"/>
        <w:gridCol w:w="4861"/>
        <w:gridCol w:w="4222"/>
        <w:gridCol w:w="3968"/>
      </w:tblGrid>
      <w:tr w:rsidR="00A35927" w:rsidRPr="00F118EB" w14:paraId="6108420C" w14:textId="77777777" w:rsidTr="00E24CCA">
        <w:trPr>
          <w:trHeight w:val="530"/>
          <w:tblHeader/>
        </w:trPr>
        <w:tc>
          <w:tcPr>
            <w:tcW w:w="715" w:type="dxa"/>
            <w:vAlign w:val="center"/>
          </w:tcPr>
          <w:p w14:paraId="0307EE14" w14:textId="430F10CC" w:rsidR="00A35927" w:rsidRPr="00F118EB" w:rsidRDefault="006767FE" w:rsidP="00E173FE">
            <w:pPr>
              <w:snapToGrid w:val="0"/>
              <w:jc w:val="center"/>
              <w:rPr>
                <w:b/>
                <w:sz w:val="22"/>
                <w:szCs w:val="22"/>
                <w:lang w:val="en-GB"/>
              </w:rPr>
            </w:pPr>
            <w:r w:rsidRPr="00F118EB">
              <w:rPr>
                <w:b/>
                <w:sz w:val="22"/>
                <w:szCs w:val="22"/>
                <w:lang w:val="en-GB"/>
              </w:rPr>
              <w:t>STT</w:t>
            </w:r>
          </w:p>
        </w:tc>
        <w:tc>
          <w:tcPr>
            <w:tcW w:w="1259" w:type="dxa"/>
            <w:vAlign w:val="center"/>
          </w:tcPr>
          <w:p w14:paraId="624537BA" w14:textId="4BF55CF7" w:rsidR="00A35927" w:rsidRPr="00F118EB" w:rsidRDefault="00AB589E" w:rsidP="00D2195B">
            <w:pPr>
              <w:snapToGrid w:val="0"/>
              <w:jc w:val="center"/>
              <w:rPr>
                <w:b/>
                <w:sz w:val="22"/>
                <w:szCs w:val="22"/>
                <w:lang w:val="en-GB"/>
              </w:rPr>
            </w:pPr>
            <w:r w:rsidRPr="00F118EB">
              <w:rPr>
                <w:b/>
                <w:sz w:val="22"/>
                <w:szCs w:val="22"/>
                <w:lang w:val="en-GB"/>
              </w:rPr>
              <w:t>Điều khoản</w:t>
            </w:r>
          </w:p>
        </w:tc>
        <w:tc>
          <w:tcPr>
            <w:tcW w:w="4861" w:type="dxa"/>
            <w:vAlign w:val="center"/>
          </w:tcPr>
          <w:p w14:paraId="1477B8D6" w14:textId="2DD3F96C" w:rsidR="00A35927" w:rsidRPr="00F118EB" w:rsidRDefault="00112EF4" w:rsidP="00D10CF4">
            <w:pPr>
              <w:snapToGrid w:val="0"/>
              <w:jc w:val="center"/>
              <w:rPr>
                <w:b/>
                <w:sz w:val="22"/>
                <w:szCs w:val="22"/>
                <w:lang w:val="en-GB"/>
              </w:rPr>
            </w:pPr>
            <w:r w:rsidRPr="00F118EB">
              <w:rPr>
                <w:b/>
                <w:sz w:val="22"/>
                <w:szCs w:val="22"/>
                <w:lang w:val="en-GB"/>
              </w:rPr>
              <w:t>N</w:t>
            </w:r>
            <w:r w:rsidR="00A35927" w:rsidRPr="00F118EB">
              <w:rPr>
                <w:b/>
                <w:sz w:val="22"/>
                <w:szCs w:val="22"/>
                <w:lang w:val="en-GB"/>
              </w:rPr>
              <w:t>ội dung</w:t>
            </w:r>
            <w:r w:rsidRPr="00F118EB">
              <w:rPr>
                <w:b/>
                <w:sz w:val="22"/>
                <w:szCs w:val="22"/>
                <w:lang w:val="en-GB"/>
              </w:rPr>
              <w:t xml:space="preserve"> tham chiếu</w:t>
            </w:r>
          </w:p>
        </w:tc>
        <w:tc>
          <w:tcPr>
            <w:tcW w:w="4222" w:type="dxa"/>
            <w:vAlign w:val="center"/>
          </w:tcPr>
          <w:p w14:paraId="4FFAA130" w14:textId="4272AC18" w:rsidR="00A35927" w:rsidRPr="00F118EB" w:rsidRDefault="00A35927" w:rsidP="00D2195B">
            <w:pPr>
              <w:snapToGrid w:val="0"/>
              <w:jc w:val="center"/>
              <w:rPr>
                <w:b/>
                <w:sz w:val="22"/>
                <w:szCs w:val="22"/>
                <w:lang w:val="en-GB"/>
              </w:rPr>
            </w:pPr>
            <w:r w:rsidRPr="00F118EB">
              <w:rPr>
                <w:b/>
                <w:sz w:val="22"/>
                <w:szCs w:val="22"/>
                <w:lang w:val="en-GB"/>
              </w:rPr>
              <w:t>Lý do đề xuất</w:t>
            </w:r>
          </w:p>
        </w:tc>
        <w:tc>
          <w:tcPr>
            <w:tcW w:w="3968" w:type="dxa"/>
            <w:vAlign w:val="center"/>
          </w:tcPr>
          <w:p w14:paraId="5D069829" w14:textId="26D998ED" w:rsidR="00A35927" w:rsidRPr="00F118EB" w:rsidRDefault="00A35927" w:rsidP="00D2195B">
            <w:pPr>
              <w:snapToGrid w:val="0"/>
              <w:jc w:val="center"/>
              <w:rPr>
                <w:b/>
                <w:sz w:val="22"/>
                <w:szCs w:val="22"/>
                <w:lang w:val="en-GB"/>
              </w:rPr>
            </w:pPr>
            <w:r w:rsidRPr="00F118EB">
              <w:rPr>
                <w:b/>
                <w:sz w:val="22"/>
                <w:szCs w:val="22"/>
                <w:lang w:val="en-GB"/>
              </w:rPr>
              <w:t xml:space="preserve">Đề xuất </w:t>
            </w:r>
            <w:r w:rsidR="00AB589E" w:rsidRPr="00F118EB">
              <w:rPr>
                <w:b/>
                <w:sz w:val="22"/>
                <w:szCs w:val="22"/>
                <w:lang w:val="en-GB"/>
              </w:rPr>
              <w:t xml:space="preserve">nội dung </w:t>
            </w:r>
            <w:r w:rsidRPr="00F118EB">
              <w:rPr>
                <w:b/>
                <w:sz w:val="22"/>
                <w:szCs w:val="22"/>
                <w:lang w:val="en-GB"/>
              </w:rPr>
              <w:t>sửa đổi</w:t>
            </w:r>
            <w:r w:rsidR="00AB589E" w:rsidRPr="00F118EB">
              <w:rPr>
                <w:b/>
                <w:sz w:val="22"/>
                <w:szCs w:val="22"/>
                <w:lang w:val="en-GB"/>
              </w:rPr>
              <w:t>, bổ sung</w:t>
            </w:r>
          </w:p>
        </w:tc>
      </w:tr>
      <w:tr w:rsidR="00493A2E" w:rsidRPr="00F118EB" w14:paraId="6BEC53FE" w14:textId="77777777" w:rsidTr="00E24CCA">
        <w:trPr>
          <w:trHeight w:val="530"/>
        </w:trPr>
        <w:tc>
          <w:tcPr>
            <w:tcW w:w="715" w:type="dxa"/>
            <w:vMerge w:val="restart"/>
            <w:vAlign w:val="center"/>
          </w:tcPr>
          <w:p w14:paraId="66467148" w14:textId="77777777" w:rsidR="00493A2E" w:rsidRPr="00F118EB" w:rsidRDefault="00493A2E" w:rsidP="00493A2E">
            <w:pPr>
              <w:snapToGrid w:val="0"/>
              <w:jc w:val="center"/>
              <w:rPr>
                <w:bCs/>
                <w:sz w:val="22"/>
                <w:szCs w:val="22"/>
                <w:lang w:val="en-GB"/>
              </w:rPr>
            </w:pPr>
            <w:r w:rsidRPr="00F118EB">
              <w:rPr>
                <w:bCs/>
                <w:sz w:val="22"/>
                <w:szCs w:val="22"/>
                <w:lang w:val="en-GB"/>
              </w:rPr>
              <w:t>1</w:t>
            </w:r>
          </w:p>
          <w:p w14:paraId="15506A69" w14:textId="77777777" w:rsidR="00493A2E" w:rsidRPr="00F118EB" w:rsidRDefault="00493A2E" w:rsidP="00493A2E">
            <w:pPr>
              <w:snapToGrid w:val="0"/>
              <w:jc w:val="center"/>
              <w:rPr>
                <w:bCs/>
                <w:sz w:val="22"/>
                <w:szCs w:val="22"/>
                <w:lang w:val="en-GB"/>
              </w:rPr>
            </w:pPr>
          </w:p>
          <w:p w14:paraId="5E8EA477" w14:textId="77777777" w:rsidR="00493A2E" w:rsidRPr="00F118EB" w:rsidRDefault="00493A2E" w:rsidP="00493A2E">
            <w:pPr>
              <w:snapToGrid w:val="0"/>
              <w:jc w:val="center"/>
              <w:rPr>
                <w:bCs/>
                <w:sz w:val="22"/>
                <w:szCs w:val="22"/>
                <w:lang w:val="en-GB"/>
              </w:rPr>
            </w:pPr>
          </w:p>
          <w:p w14:paraId="6E7B019A" w14:textId="77777777" w:rsidR="00493A2E" w:rsidRPr="00F118EB" w:rsidRDefault="00493A2E" w:rsidP="00493A2E">
            <w:pPr>
              <w:snapToGrid w:val="0"/>
              <w:jc w:val="center"/>
              <w:rPr>
                <w:bCs/>
                <w:sz w:val="22"/>
                <w:szCs w:val="22"/>
                <w:lang w:val="en-GB"/>
              </w:rPr>
            </w:pPr>
          </w:p>
          <w:p w14:paraId="1DD8A32D" w14:textId="77777777" w:rsidR="00493A2E" w:rsidRPr="00F118EB" w:rsidRDefault="00493A2E" w:rsidP="00493A2E">
            <w:pPr>
              <w:snapToGrid w:val="0"/>
              <w:jc w:val="center"/>
              <w:rPr>
                <w:bCs/>
                <w:sz w:val="22"/>
                <w:szCs w:val="22"/>
                <w:lang w:val="en-GB"/>
              </w:rPr>
            </w:pPr>
          </w:p>
          <w:p w14:paraId="54204DE8" w14:textId="77777777" w:rsidR="00493A2E" w:rsidRPr="00F118EB" w:rsidRDefault="00493A2E" w:rsidP="00493A2E">
            <w:pPr>
              <w:snapToGrid w:val="0"/>
              <w:jc w:val="center"/>
              <w:rPr>
                <w:bCs/>
                <w:sz w:val="22"/>
                <w:szCs w:val="22"/>
                <w:lang w:val="en-GB"/>
              </w:rPr>
            </w:pPr>
          </w:p>
          <w:p w14:paraId="649D223A" w14:textId="77777777" w:rsidR="00493A2E" w:rsidRPr="00F118EB" w:rsidRDefault="00493A2E" w:rsidP="00493A2E">
            <w:pPr>
              <w:snapToGrid w:val="0"/>
              <w:jc w:val="center"/>
              <w:rPr>
                <w:bCs/>
                <w:sz w:val="22"/>
                <w:szCs w:val="22"/>
                <w:lang w:val="en-GB"/>
              </w:rPr>
            </w:pPr>
          </w:p>
          <w:p w14:paraId="06FAEDA9" w14:textId="77777777" w:rsidR="00493A2E" w:rsidRPr="00F118EB" w:rsidRDefault="00493A2E" w:rsidP="00493A2E">
            <w:pPr>
              <w:snapToGrid w:val="0"/>
              <w:jc w:val="center"/>
              <w:rPr>
                <w:bCs/>
                <w:sz w:val="22"/>
                <w:szCs w:val="22"/>
                <w:lang w:val="en-GB"/>
              </w:rPr>
            </w:pPr>
          </w:p>
          <w:p w14:paraId="2D0A723C" w14:textId="77777777" w:rsidR="00493A2E" w:rsidRPr="00F118EB" w:rsidRDefault="00493A2E" w:rsidP="00493A2E">
            <w:pPr>
              <w:snapToGrid w:val="0"/>
              <w:jc w:val="center"/>
              <w:rPr>
                <w:bCs/>
                <w:sz w:val="22"/>
                <w:szCs w:val="22"/>
                <w:lang w:val="en-GB"/>
              </w:rPr>
            </w:pPr>
          </w:p>
          <w:p w14:paraId="504DA80B" w14:textId="77777777" w:rsidR="00493A2E" w:rsidRPr="00F118EB" w:rsidRDefault="00493A2E" w:rsidP="00493A2E">
            <w:pPr>
              <w:snapToGrid w:val="0"/>
              <w:jc w:val="center"/>
              <w:rPr>
                <w:bCs/>
                <w:sz w:val="22"/>
                <w:szCs w:val="22"/>
                <w:lang w:val="en-GB"/>
              </w:rPr>
            </w:pPr>
          </w:p>
          <w:p w14:paraId="50CA68B9" w14:textId="77777777" w:rsidR="00493A2E" w:rsidRPr="00F118EB" w:rsidRDefault="00493A2E" w:rsidP="00493A2E">
            <w:pPr>
              <w:snapToGrid w:val="0"/>
              <w:jc w:val="center"/>
              <w:rPr>
                <w:bCs/>
                <w:sz w:val="22"/>
                <w:szCs w:val="22"/>
                <w:lang w:val="en-GB"/>
              </w:rPr>
            </w:pPr>
          </w:p>
          <w:p w14:paraId="75D2DBB3" w14:textId="77777777" w:rsidR="00493A2E" w:rsidRPr="00F118EB" w:rsidRDefault="00493A2E" w:rsidP="00493A2E">
            <w:pPr>
              <w:snapToGrid w:val="0"/>
              <w:jc w:val="center"/>
              <w:rPr>
                <w:bCs/>
                <w:sz w:val="22"/>
                <w:szCs w:val="22"/>
                <w:lang w:val="en-GB"/>
              </w:rPr>
            </w:pPr>
          </w:p>
          <w:p w14:paraId="72C66C77" w14:textId="77777777" w:rsidR="00493A2E" w:rsidRPr="00F118EB" w:rsidRDefault="00493A2E" w:rsidP="00493A2E">
            <w:pPr>
              <w:snapToGrid w:val="0"/>
              <w:jc w:val="center"/>
              <w:rPr>
                <w:bCs/>
                <w:sz w:val="22"/>
                <w:szCs w:val="22"/>
                <w:lang w:val="en-GB"/>
              </w:rPr>
            </w:pPr>
          </w:p>
          <w:p w14:paraId="34F1E9A0" w14:textId="77777777" w:rsidR="00493A2E" w:rsidRPr="00F118EB" w:rsidRDefault="00493A2E" w:rsidP="00493A2E">
            <w:pPr>
              <w:snapToGrid w:val="0"/>
              <w:jc w:val="center"/>
              <w:rPr>
                <w:bCs/>
                <w:sz w:val="22"/>
                <w:szCs w:val="22"/>
                <w:lang w:val="en-GB"/>
              </w:rPr>
            </w:pPr>
          </w:p>
          <w:p w14:paraId="70B40F15" w14:textId="77777777" w:rsidR="00493A2E" w:rsidRPr="00F118EB" w:rsidRDefault="00493A2E" w:rsidP="00493A2E">
            <w:pPr>
              <w:snapToGrid w:val="0"/>
              <w:jc w:val="center"/>
              <w:rPr>
                <w:bCs/>
                <w:sz w:val="22"/>
                <w:szCs w:val="22"/>
                <w:lang w:val="en-GB"/>
              </w:rPr>
            </w:pPr>
          </w:p>
          <w:p w14:paraId="6F717DC9" w14:textId="77777777" w:rsidR="00493A2E" w:rsidRPr="00F118EB" w:rsidRDefault="00493A2E" w:rsidP="00493A2E">
            <w:pPr>
              <w:snapToGrid w:val="0"/>
              <w:jc w:val="center"/>
              <w:rPr>
                <w:bCs/>
                <w:sz w:val="22"/>
                <w:szCs w:val="22"/>
                <w:lang w:val="en-GB"/>
              </w:rPr>
            </w:pPr>
          </w:p>
          <w:p w14:paraId="6BBDF009" w14:textId="77777777" w:rsidR="00493A2E" w:rsidRPr="00F118EB" w:rsidRDefault="00493A2E" w:rsidP="00493A2E">
            <w:pPr>
              <w:snapToGrid w:val="0"/>
              <w:jc w:val="center"/>
              <w:rPr>
                <w:bCs/>
                <w:sz w:val="22"/>
                <w:szCs w:val="22"/>
                <w:lang w:val="en-GB"/>
              </w:rPr>
            </w:pPr>
          </w:p>
          <w:p w14:paraId="725E3E64" w14:textId="77777777" w:rsidR="00493A2E" w:rsidRPr="00F118EB" w:rsidRDefault="00493A2E" w:rsidP="00493A2E">
            <w:pPr>
              <w:snapToGrid w:val="0"/>
              <w:jc w:val="center"/>
              <w:rPr>
                <w:bCs/>
                <w:sz w:val="22"/>
                <w:szCs w:val="22"/>
                <w:lang w:val="en-GB"/>
              </w:rPr>
            </w:pPr>
          </w:p>
          <w:p w14:paraId="3CE2F3E1" w14:textId="77777777" w:rsidR="00493A2E" w:rsidRPr="00F118EB" w:rsidRDefault="00493A2E" w:rsidP="00493A2E">
            <w:pPr>
              <w:snapToGrid w:val="0"/>
              <w:jc w:val="center"/>
              <w:rPr>
                <w:bCs/>
                <w:sz w:val="22"/>
                <w:szCs w:val="22"/>
                <w:lang w:val="en-GB"/>
              </w:rPr>
            </w:pPr>
          </w:p>
          <w:p w14:paraId="0BC4279B" w14:textId="77777777" w:rsidR="00493A2E" w:rsidRPr="00F118EB" w:rsidRDefault="00493A2E" w:rsidP="00493A2E">
            <w:pPr>
              <w:snapToGrid w:val="0"/>
              <w:jc w:val="center"/>
              <w:rPr>
                <w:bCs/>
                <w:sz w:val="22"/>
                <w:szCs w:val="22"/>
                <w:lang w:val="en-GB"/>
              </w:rPr>
            </w:pPr>
          </w:p>
          <w:p w14:paraId="7597ED24" w14:textId="77777777" w:rsidR="00493A2E" w:rsidRPr="00F118EB" w:rsidRDefault="00493A2E" w:rsidP="00493A2E">
            <w:pPr>
              <w:snapToGrid w:val="0"/>
              <w:jc w:val="center"/>
              <w:rPr>
                <w:bCs/>
                <w:sz w:val="22"/>
                <w:szCs w:val="22"/>
                <w:lang w:val="en-GB"/>
              </w:rPr>
            </w:pPr>
          </w:p>
          <w:p w14:paraId="7DA75AA8" w14:textId="77777777" w:rsidR="00493A2E" w:rsidRPr="00F118EB" w:rsidRDefault="00493A2E" w:rsidP="00493A2E">
            <w:pPr>
              <w:snapToGrid w:val="0"/>
              <w:jc w:val="center"/>
              <w:rPr>
                <w:bCs/>
                <w:sz w:val="22"/>
                <w:szCs w:val="22"/>
                <w:lang w:val="en-GB"/>
              </w:rPr>
            </w:pPr>
          </w:p>
          <w:p w14:paraId="7F5CE866" w14:textId="77777777" w:rsidR="00493A2E" w:rsidRPr="00F118EB" w:rsidRDefault="00493A2E" w:rsidP="00493A2E">
            <w:pPr>
              <w:snapToGrid w:val="0"/>
              <w:jc w:val="center"/>
              <w:rPr>
                <w:bCs/>
                <w:sz w:val="22"/>
                <w:szCs w:val="22"/>
                <w:lang w:val="en-GB"/>
              </w:rPr>
            </w:pPr>
          </w:p>
          <w:p w14:paraId="55A70BB9" w14:textId="77777777" w:rsidR="00493A2E" w:rsidRPr="00F118EB" w:rsidRDefault="00493A2E" w:rsidP="00493A2E">
            <w:pPr>
              <w:snapToGrid w:val="0"/>
              <w:jc w:val="center"/>
              <w:rPr>
                <w:bCs/>
                <w:sz w:val="22"/>
                <w:szCs w:val="22"/>
                <w:lang w:val="en-GB"/>
              </w:rPr>
            </w:pPr>
          </w:p>
          <w:p w14:paraId="4588D7AE" w14:textId="77777777" w:rsidR="00493A2E" w:rsidRPr="00F118EB" w:rsidRDefault="00493A2E" w:rsidP="00493A2E">
            <w:pPr>
              <w:snapToGrid w:val="0"/>
              <w:jc w:val="center"/>
              <w:rPr>
                <w:bCs/>
                <w:sz w:val="22"/>
                <w:szCs w:val="22"/>
                <w:lang w:val="en-GB"/>
              </w:rPr>
            </w:pPr>
          </w:p>
          <w:p w14:paraId="47788D4D" w14:textId="77777777" w:rsidR="00493A2E" w:rsidRPr="00F118EB" w:rsidRDefault="00493A2E" w:rsidP="00493A2E">
            <w:pPr>
              <w:snapToGrid w:val="0"/>
              <w:jc w:val="center"/>
              <w:rPr>
                <w:bCs/>
                <w:sz w:val="22"/>
                <w:szCs w:val="22"/>
                <w:lang w:val="en-GB"/>
              </w:rPr>
            </w:pPr>
          </w:p>
          <w:p w14:paraId="60FB5A6F" w14:textId="77777777" w:rsidR="00493A2E" w:rsidRPr="00F118EB" w:rsidRDefault="00493A2E" w:rsidP="00493A2E">
            <w:pPr>
              <w:snapToGrid w:val="0"/>
              <w:jc w:val="center"/>
              <w:rPr>
                <w:bCs/>
                <w:sz w:val="22"/>
                <w:szCs w:val="22"/>
                <w:lang w:val="en-GB"/>
              </w:rPr>
            </w:pPr>
          </w:p>
          <w:p w14:paraId="33950091" w14:textId="77777777" w:rsidR="00493A2E" w:rsidRPr="00F118EB" w:rsidRDefault="00493A2E" w:rsidP="00493A2E">
            <w:pPr>
              <w:snapToGrid w:val="0"/>
              <w:jc w:val="center"/>
              <w:rPr>
                <w:bCs/>
                <w:sz w:val="22"/>
                <w:szCs w:val="22"/>
                <w:lang w:val="en-GB"/>
              </w:rPr>
            </w:pPr>
          </w:p>
          <w:p w14:paraId="00082A56" w14:textId="25C938CE" w:rsidR="00493A2E" w:rsidRPr="00F118EB" w:rsidRDefault="00493A2E" w:rsidP="00493A2E">
            <w:pPr>
              <w:snapToGrid w:val="0"/>
              <w:jc w:val="center"/>
              <w:rPr>
                <w:bCs/>
                <w:sz w:val="22"/>
                <w:szCs w:val="22"/>
                <w:lang w:val="en-GB"/>
              </w:rPr>
            </w:pPr>
          </w:p>
        </w:tc>
        <w:tc>
          <w:tcPr>
            <w:tcW w:w="1259" w:type="dxa"/>
            <w:vAlign w:val="center"/>
          </w:tcPr>
          <w:p w14:paraId="544CD964" w14:textId="77777777" w:rsidR="00493A2E" w:rsidRPr="00F118EB" w:rsidRDefault="00493A2E" w:rsidP="00B573E1">
            <w:pPr>
              <w:snapToGrid w:val="0"/>
              <w:jc w:val="center"/>
              <w:rPr>
                <w:b/>
                <w:sz w:val="22"/>
                <w:szCs w:val="22"/>
                <w:lang w:val="en-GB"/>
              </w:rPr>
            </w:pPr>
            <w:r w:rsidRPr="00F118EB">
              <w:rPr>
                <w:b/>
                <w:sz w:val="22"/>
                <w:szCs w:val="22"/>
                <w:lang w:val="en-GB"/>
              </w:rPr>
              <w:lastRenderedPageBreak/>
              <w:t>Điều 88</w:t>
            </w:r>
          </w:p>
        </w:tc>
        <w:tc>
          <w:tcPr>
            <w:tcW w:w="13051" w:type="dxa"/>
            <w:gridSpan w:val="3"/>
            <w:vAlign w:val="center"/>
          </w:tcPr>
          <w:p w14:paraId="233CBB5B" w14:textId="6E1BA5DD" w:rsidR="00493A2E" w:rsidRPr="00F118EB" w:rsidRDefault="00493A2E" w:rsidP="00B573E1">
            <w:pPr>
              <w:snapToGrid w:val="0"/>
              <w:rPr>
                <w:b/>
                <w:sz w:val="22"/>
                <w:szCs w:val="22"/>
                <w:lang w:val="en-GB"/>
              </w:rPr>
            </w:pPr>
            <w:r w:rsidRPr="00F118EB">
              <w:rPr>
                <w:b/>
                <w:sz w:val="22"/>
                <w:szCs w:val="22"/>
                <w:lang w:val="en-GB"/>
              </w:rPr>
              <w:t>Tỷ lệ tái chế, quy cách tái chế</w:t>
            </w:r>
            <w:r w:rsidR="000D5176" w:rsidRPr="00F118EB">
              <w:rPr>
                <w:bCs/>
                <w:i/>
                <w:iCs/>
                <w:sz w:val="22"/>
                <w:szCs w:val="22"/>
                <w:lang w:val="en-GB"/>
              </w:rPr>
              <w:t xml:space="preserve"> </w:t>
            </w:r>
          </w:p>
        </w:tc>
      </w:tr>
      <w:tr w:rsidR="00493A2E" w:rsidRPr="00F118EB" w14:paraId="450FF697" w14:textId="77777777" w:rsidTr="00E24CCA">
        <w:trPr>
          <w:trHeight w:val="2117"/>
        </w:trPr>
        <w:tc>
          <w:tcPr>
            <w:tcW w:w="715" w:type="dxa"/>
            <w:vMerge/>
            <w:vAlign w:val="center"/>
          </w:tcPr>
          <w:p w14:paraId="645F317B" w14:textId="77777777" w:rsidR="00493A2E" w:rsidRPr="00F118EB" w:rsidRDefault="00493A2E" w:rsidP="00B573E1">
            <w:pPr>
              <w:snapToGrid w:val="0"/>
              <w:rPr>
                <w:bCs/>
                <w:sz w:val="22"/>
                <w:szCs w:val="22"/>
                <w:lang w:val="en-GB"/>
              </w:rPr>
            </w:pPr>
          </w:p>
        </w:tc>
        <w:tc>
          <w:tcPr>
            <w:tcW w:w="1259" w:type="dxa"/>
          </w:tcPr>
          <w:p w14:paraId="32FA1F6A" w14:textId="77777777" w:rsidR="00493A2E" w:rsidRPr="00F118EB" w:rsidRDefault="00493A2E" w:rsidP="00B573E1">
            <w:pPr>
              <w:snapToGrid w:val="0"/>
              <w:jc w:val="center"/>
              <w:rPr>
                <w:bCs/>
                <w:sz w:val="22"/>
                <w:szCs w:val="22"/>
                <w:lang w:val="en-GB"/>
              </w:rPr>
            </w:pPr>
            <w:r w:rsidRPr="00F118EB">
              <w:rPr>
                <w:bCs/>
                <w:sz w:val="22"/>
                <w:szCs w:val="22"/>
                <w:lang w:val="en-GB"/>
              </w:rPr>
              <w:t>Khoản 2</w:t>
            </w:r>
          </w:p>
        </w:tc>
        <w:tc>
          <w:tcPr>
            <w:tcW w:w="4861" w:type="dxa"/>
          </w:tcPr>
          <w:p w14:paraId="46B1B1F8" w14:textId="77777777" w:rsidR="00493A2E" w:rsidRPr="00F118EB" w:rsidRDefault="00493A2E" w:rsidP="004A0276">
            <w:pPr>
              <w:snapToGrid w:val="0"/>
              <w:jc w:val="both"/>
              <w:rPr>
                <w:bCs/>
                <w:sz w:val="22"/>
                <w:szCs w:val="22"/>
                <w:lang w:val="en-GB"/>
              </w:rPr>
            </w:pPr>
            <w:r w:rsidRPr="00F118EB">
              <w:rPr>
                <w:bCs/>
                <w:sz w:val="22"/>
                <w:szCs w:val="22"/>
                <w:lang w:val="en-GB"/>
              </w:rPr>
              <w:t>Tỷ lệ tái chế thực tế (Ra) của từng loại sản phẩm, bao bì cụ thể được xác định theo công thức sau đây:</w:t>
            </w:r>
          </w:p>
          <w:tbl>
            <w:tblPr>
              <w:tblStyle w:val="TableGrid"/>
              <w:tblW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
              <w:gridCol w:w="450"/>
              <w:gridCol w:w="1280"/>
              <w:gridCol w:w="360"/>
              <w:gridCol w:w="1260"/>
            </w:tblGrid>
            <w:tr w:rsidR="00493A2E" w:rsidRPr="00F118EB" w14:paraId="60AF8A02" w14:textId="77777777" w:rsidTr="00E24CCA">
              <w:tc>
                <w:tcPr>
                  <w:tcW w:w="970" w:type="dxa"/>
                </w:tcPr>
                <w:p w14:paraId="2A05482B" w14:textId="77777777" w:rsidR="00493A2E" w:rsidRPr="00F118EB" w:rsidRDefault="00493A2E" w:rsidP="000D5176">
                  <w:pPr>
                    <w:framePr w:hSpace="180" w:wrap="around" w:vAnchor="text" w:hAnchor="text" w:xAlign="right" w:y="1"/>
                    <w:spacing w:before="120" w:line="269" w:lineRule="auto"/>
                    <w:suppressOverlap/>
                    <w:jc w:val="center"/>
                    <w:rPr>
                      <w:i/>
                      <w:iCs/>
                      <w:sz w:val="22"/>
                      <w:szCs w:val="22"/>
                    </w:rPr>
                  </w:pPr>
                  <w:r w:rsidRPr="00F118EB">
                    <w:rPr>
                      <w:i/>
                      <w:iCs/>
                      <w:sz w:val="22"/>
                      <w:szCs w:val="22"/>
                    </w:rPr>
                    <w:t>Tỷ lệ tái chế thực tế (Ra)</w:t>
                  </w:r>
                </w:p>
              </w:tc>
              <w:tc>
                <w:tcPr>
                  <w:tcW w:w="450" w:type="dxa"/>
                </w:tcPr>
                <w:p w14:paraId="27AE61A1" w14:textId="77777777" w:rsidR="00493A2E" w:rsidRPr="00F118EB" w:rsidRDefault="00493A2E" w:rsidP="000D5176">
                  <w:pPr>
                    <w:framePr w:hSpace="180" w:wrap="around" w:vAnchor="text" w:hAnchor="text" w:xAlign="right" w:y="1"/>
                    <w:spacing w:before="120" w:line="269" w:lineRule="auto"/>
                    <w:suppressOverlap/>
                    <w:jc w:val="center"/>
                    <w:rPr>
                      <w:i/>
                      <w:iCs/>
                      <w:sz w:val="22"/>
                      <w:szCs w:val="22"/>
                    </w:rPr>
                  </w:pPr>
                </w:p>
                <w:p w14:paraId="67E42651" w14:textId="77777777" w:rsidR="00493A2E" w:rsidRPr="00F118EB" w:rsidRDefault="00493A2E" w:rsidP="000D5176">
                  <w:pPr>
                    <w:framePr w:hSpace="180" w:wrap="around" w:vAnchor="text" w:hAnchor="text" w:xAlign="right" w:y="1"/>
                    <w:spacing w:before="120" w:line="269" w:lineRule="auto"/>
                    <w:suppressOverlap/>
                    <w:jc w:val="center"/>
                    <w:rPr>
                      <w:i/>
                      <w:iCs/>
                      <w:sz w:val="22"/>
                      <w:szCs w:val="22"/>
                    </w:rPr>
                  </w:pPr>
                  <w:r w:rsidRPr="00F118EB">
                    <w:rPr>
                      <w:i/>
                      <w:iCs/>
                      <w:sz w:val="22"/>
                      <w:szCs w:val="22"/>
                    </w:rPr>
                    <w:t>=</w:t>
                  </w:r>
                </w:p>
              </w:tc>
              <w:tc>
                <w:tcPr>
                  <w:tcW w:w="1280" w:type="dxa"/>
                </w:tcPr>
                <w:p w14:paraId="369EE08C" w14:textId="77777777" w:rsidR="00493A2E" w:rsidRPr="00F118EB" w:rsidRDefault="00493A2E" w:rsidP="000D5176">
                  <w:pPr>
                    <w:framePr w:hSpace="180" w:wrap="around" w:vAnchor="text" w:hAnchor="text" w:xAlign="right" w:y="1"/>
                    <w:spacing w:before="120" w:line="269" w:lineRule="auto"/>
                    <w:suppressOverlap/>
                    <w:jc w:val="center"/>
                    <w:rPr>
                      <w:i/>
                      <w:iCs/>
                      <w:sz w:val="22"/>
                      <w:szCs w:val="22"/>
                    </w:rPr>
                  </w:pPr>
                  <w:r w:rsidRPr="00F118EB">
                    <w:rPr>
                      <w:i/>
                      <w:iCs/>
                      <w:sz w:val="22"/>
                      <w:szCs w:val="22"/>
                    </w:rPr>
                    <w:t>Hệ số thải bỏ sản phẩm, bao bì (D)</w:t>
                  </w:r>
                </w:p>
              </w:tc>
              <w:tc>
                <w:tcPr>
                  <w:tcW w:w="360" w:type="dxa"/>
                </w:tcPr>
                <w:p w14:paraId="08191CA6" w14:textId="77777777" w:rsidR="00493A2E" w:rsidRPr="00F118EB" w:rsidRDefault="00493A2E" w:rsidP="000D5176">
                  <w:pPr>
                    <w:framePr w:hSpace="180" w:wrap="around" w:vAnchor="text" w:hAnchor="text" w:xAlign="right" w:y="1"/>
                    <w:spacing w:before="120" w:line="269" w:lineRule="auto"/>
                    <w:suppressOverlap/>
                    <w:jc w:val="center"/>
                    <w:rPr>
                      <w:i/>
                      <w:iCs/>
                      <w:sz w:val="22"/>
                      <w:szCs w:val="22"/>
                    </w:rPr>
                  </w:pPr>
                </w:p>
                <w:p w14:paraId="466CD236" w14:textId="77777777" w:rsidR="00493A2E" w:rsidRPr="00F118EB" w:rsidRDefault="00493A2E" w:rsidP="000D5176">
                  <w:pPr>
                    <w:framePr w:hSpace="180" w:wrap="around" w:vAnchor="text" w:hAnchor="text" w:xAlign="right" w:y="1"/>
                    <w:spacing w:before="120" w:line="269" w:lineRule="auto"/>
                    <w:suppressOverlap/>
                    <w:jc w:val="center"/>
                    <w:rPr>
                      <w:i/>
                      <w:iCs/>
                      <w:sz w:val="22"/>
                      <w:szCs w:val="22"/>
                    </w:rPr>
                  </w:pPr>
                  <w:r w:rsidRPr="00F118EB">
                    <w:rPr>
                      <w:i/>
                      <w:iCs/>
                      <w:sz w:val="22"/>
                      <w:szCs w:val="22"/>
                    </w:rPr>
                    <w:t>x</w:t>
                  </w:r>
                </w:p>
              </w:tc>
              <w:tc>
                <w:tcPr>
                  <w:tcW w:w="1260" w:type="dxa"/>
                </w:tcPr>
                <w:p w14:paraId="57C94D83" w14:textId="77777777" w:rsidR="00493A2E" w:rsidRPr="00F118EB" w:rsidRDefault="00493A2E" w:rsidP="000D5176">
                  <w:pPr>
                    <w:framePr w:hSpace="180" w:wrap="around" w:vAnchor="text" w:hAnchor="text" w:xAlign="right" w:y="1"/>
                    <w:spacing w:before="120" w:line="269" w:lineRule="auto"/>
                    <w:suppressOverlap/>
                    <w:jc w:val="center"/>
                    <w:rPr>
                      <w:i/>
                      <w:iCs/>
                      <w:sz w:val="22"/>
                      <w:szCs w:val="22"/>
                    </w:rPr>
                  </w:pPr>
                  <w:r w:rsidRPr="00F118EB">
                    <w:rPr>
                      <w:i/>
                      <w:iCs/>
                      <w:sz w:val="22"/>
                      <w:szCs w:val="22"/>
                    </w:rPr>
                    <w:t>Hệ số thu gom sản phẩm, bao bì (T)</w:t>
                  </w:r>
                </w:p>
              </w:tc>
            </w:tr>
          </w:tbl>
          <w:p w14:paraId="494E4C63" w14:textId="77777777" w:rsidR="00493A2E" w:rsidRPr="00F118EB" w:rsidRDefault="00493A2E" w:rsidP="004A0276">
            <w:pPr>
              <w:snapToGrid w:val="0"/>
              <w:jc w:val="both"/>
              <w:rPr>
                <w:bCs/>
                <w:sz w:val="22"/>
                <w:szCs w:val="22"/>
                <w:lang w:val="en-GB"/>
              </w:rPr>
            </w:pPr>
          </w:p>
          <w:p w14:paraId="6EABB1FB" w14:textId="44E4D15A" w:rsidR="00E24CCA" w:rsidRPr="00F118EB" w:rsidRDefault="00493A2E" w:rsidP="004A0276">
            <w:pPr>
              <w:snapToGrid w:val="0"/>
              <w:jc w:val="both"/>
              <w:rPr>
                <w:bCs/>
                <w:sz w:val="22"/>
                <w:szCs w:val="22"/>
                <w:lang w:val="en-GB"/>
              </w:rPr>
            </w:pPr>
            <w:r w:rsidRPr="00F118EB">
              <w:rPr>
                <w:bCs/>
                <w:sz w:val="22"/>
                <w:szCs w:val="22"/>
                <w:lang w:val="en-GB"/>
              </w:rPr>
              <w:t>Bộ Tài nguyên và Môi trường quy định chi tiết việc xác định hệ số thải sản phẩm, bao bì (D) và hệ số thu gom sản phẩm, bao bì (T) quy định tại khoản này.</w:t>
            </w:r>
          </w:p>
        </w:tc>
        <w:tc>
          <w:tcPr>
            <w:tcW w:w="4222" w:type="dxa"/>
          </w:tcPr>
          <w:p w14:paraId="5DB3F24D" w14:textId="0438F589" w:rsidR="00493A2E" w:rsidRPr="00F118EB" w:rsidRDefault="00075A51" w:rsidP="00B573E1">
            <w:pPr>
              <w:snapToGrid w:val="0"/>
              <w:jc w:val="both"/>
              <w:rPr>
                <w:sz w:val="22"/>
                <w:szCs w:val="22"/>
              </w:rPr>
            </w:pPr>
            <w:r w:rsidRPr="00F118EB">
              <w:rPr>
                <w:bCs/>
                <w:sz w:val="22"/>
                <w:szCs w:val="22"/>
                <w:lang w:val="en-GB"/>
              </w:rPr>
              <w:t xml:space="preserve">Ban soạn thảo nên quy định chi tiết cách xác định các hệ số D và T trong Nghị định cho đúng với tinh thần “quy định chi tiết một số điều của Luật Bảo vệ môi trường” </w:t>
            </w:r>
          </w:p>
          <w:p w14:paraId="4BD7D7CE" w14:textId="1BA6811D" w:rsidR="00493A2E" w:rsidRPr="00F118EB" w:rsidRDefault="00493A2E" w:rsidP="004A0276">
            <w:pPr>
              <w:snapToGrid w:val="0"/>
              <w:jc w:val="both"/>
              <w:rPr>
                <w:bCs/>
                <w:sz w:val="22"/>
                <w:szCs w:val="22"/>
                <w:lang w:val="en-GB"/>
              </w:rPr>
            </w:pPr>
          </w:p>
        </w:tc>
        <w:tc>
          <w:tcPr>
            <w:tcW w:w="3968" w:type="dxa"/>
          </w:tcPr>
          <w:p w14:paraId="258AB626" w14:textId="0033AF59" w:rsidR="00611FD2" w:rsidRPr="00F118EB" w:rsidRDefault="00611FD2" w:rsidP="00B573E1">
            <w:pPr>
              <w:snapToGrid w:val="0"/>
              <w:jc w:val="both"/>
              <w:rPr>
                <w:bCs/>
                <w:sz w:val="22"/>
                <w:szCs w:val="22"/>
                <w:lang w:val="en-GB"/>
              </w:rPr>
            </w:pPr>
            <w:r w:rsidRPr="00F118EB">
              <w:rPr>
                <w:bCs/>
                <w:sz w:val="22"/>
                <w:szCs w:val="22"/>
                <w:lang w:val="en-GB"/>
              </w:rPr>
              <w:t>Đề nghị</w:t>
            </w:r>
            <w:r w:rsidR="000D5176" w:rsidRPr="00F118EB">
              <w:rPr>
                <w:bCs/>
                <w:i/>
                <w:iCs/>
                <w:sz w:val="22"/>
                <w:szCs w:val="22"/>
                <w:lang w:val="en-GB"/>
              </w:rPr>
              <w:t xml:space="preserve"> </w:t>
            </w:r>
            <w:r w:rsidR="000D5176" w:rsidRPr="00F118EB">
              <w:rPr>
                <w:bCs/>
                <w:sz w:val="22"/>
                <w:szCs w:val="22"/>
                <w:lang w:val="en-GB"/>
              </w:rPr>
              <w:t xml:space="preserve">ghi cụ thể các hệ số </w:t>
            </w:r>
            <w:r w:rsidR="0010434A" w:rsidRPr="00F118EB">
              <w:rPr>
                <w:bCs/>
                <w:sz w:val="22"/>
                <w:szCs w:val="22"/>
                <w:lang w:val="en-GB"/>
              </w:rPr>
              <w:t xml:space="preserve"> D và T </w:t>
            </w:r>
            <w:r w:rsidR="000D5176" w:rsidRPr="00F118EB">
              <w:rPr>
                <w:bCs/>
                <w:sz w:val="22"/>
                <w:szCs w:val="22"/>
                <w:lang w:val="en-GB"/>
              </w:rPr>
              <w:t xml:space="preserve">trong Nghị định, và </w:t>
            </w:r>
            <w:r w:rsidRPr="00F118EB">
              <w:rPr>
                <w:bCs/>
                <w:sz w:val="22"/>
                <w:szCs w:val="22"/>
                <w:lang w:val="en-GB"/>
              </w:rPr>
              <w:t>b</w:t>
            </w:r>
            <w:r w:rsidR="00075A51" w:rsidRPr="00F118EB">
              <w:rPr>
                <w:bCs/>
                <w:sz w:val="22"/>
                <w:szCs w:val="22"/>
                <w:lang w:val="en-GB"/>
              </w:rPr>
              <w:t xml:space="preserve">ỏ </w:t>
            </w:r>
            <w:r w:rsidR="00E24CCA" w:rsidRPr="00F118EB">
              <w:rPr>
                <w:bCs/>
                <w:sz w:val="22"/>
                <w:szCs w:val="22"/>
                <w:lang w:val="en-GB"/>
              </w:rPr>
              <w:t>quy định</w:t>
            </w:r>
            <w:r w:rsidRPr="00F118EB">
              <w:rPr>
                <w:bCs/>
                <w:sz w:val="22"/>
                <w:szCs w:val="22"/>
                <w:lang w:val="en-GB"/>
              </w:rPr>
              <w:t>:</w:t>
            </w:r>
            <w:r w:rsidR="00E24CCA" w:rsidRPr="00F118EB">
              <w:rPr>
                <w:bCs/>
                <w:sz w:val="22"/>
                <w:szCs w:val="22"/>
                <w:lang w:val="en-GB"/>
              </w:rPr>
              <w:t xml:space="preserve"> </w:t>
            </w:r>
          </w:p>
          <w:p w14:paraId="5C27437E" w14:textId="77777777" w:rsidR="00611FD2" w:rsidRPr="00F118EB" w:rsidRDefault="00611FD2" w:rsidP="00B573E1">
            <w:pPr>
              <w:snapToGrid w:val="0"/>
              <w:jc w:val="both"/>
              <w:rPr>
                <w:bCs/>
                <w:sz w:val="22"/>
                <w:szCs w:val="22"/>
                <w:lang w:val="en-GB"/>
              </w:rPr>
            </w:pPr>
          </w:p>
          <w:p w14:paraId="186A4656" w14:textId="77777777" w:rsidR="00493A2E" w:rsidRPr="00F118EB" w:rsidRDefault="00075A51" w:rsidP="00B573E1">
            <w:pPr>
              <w:snapToGrid w:val="0"/>
              <w:jc w:val="both"/>
              <w:rPr>
                <w:bCs/>
                <w:i/>
                <w:iCs/>
                <w:sz w:val="22"/>
                <w:szCs w:val="22"/>
                <w:lang w:val="en-GB"/>
              </w:rPr>
            </w:pPr>
            <w:r w:rsidRPr="00F118EB">
              <w:rPr>
                <w:bCs/>
                <w:i/>
                <w:iCs/>
                <w:sz w:val="22"/>
                <w:szCs w:val="22"/>
                <w:lang w:val="en-GB"/>
              </w:rPr>
              <w:t>“Bộ Tài nguyên và Môi trường quy định chi tiết việc xác định hệ số thải sản phẩm, bao bì (D) và hệ số thu gom sản phẩm, bao bì (T) quy định tại khoản này”.</w:t>
            </w:r>
          </w:p>
          <w:p w14:paraId="327EC9C9" w14:textId="588B27F8" w:rsidR="000D5176" w:rsidRPr="00F118EB" w:rsidRDefault="000D5176" w:rsidP="00B573E1">
            <w:pPr>
              <w:snapToGrid w:val="0"/>
              <w:jc w:val="both"/>
              <w:rPr>
                <w:bCs/>
                <w:i/>
                <w:iCs/>
                <w:sz w:val="22"/>
                <w:szCs w:val="22"/>
                <w:lang w:val="en-GB"/>
              </w:rPr>
            </w:pPr>
          </w:p>
        </w:tc>
      </w:tr>
      <w:tr w:rsidR="00493A2E" w:rsidRPr="00F118EB" w14:paraId="749641E3" w14:textId="77777777" w:rsidTr="00E24CCA">
        <w:trPr>
          <w:trHeight w:val="1400"/>
        </w:trPr>
        <w:tc>
          <w:tcPr>
            <w:tcW w:w="715" w:type="dxa"/>
            <w:vMerge/>
            <w:vAlign w:val="center"/>
          </w:tcPr>
          <w:p w14:paraId="3E01A18D" w14:textId="77777777" w:rsidR="00493A2E" w:rsidRPr="00F118EB" w:rsidRDefault="00493A2E" w:rsidP="009F65C0">
            <w:pPr>
              <w:snapToGrid w:val="0"/>
              <w:rPr>
                <w:bCs/>
                <w:sz w:val="22"/>
                <w:szCs w:val="22"/>
                <w:lang w:val="en-GB"/>
              </w:rPr>
            </w:pPr>
          </w:p>
        </w:tc>
        <w:tc>
          <w:tcPr>
            <w:tcW w:w="1259" w:type="dxa"/>
          </w:tcPr>
          <w:p w14:paraId="5F9F7B22" w14:textId="1C8132A7" w:rsidR="00493A2E" w:rsidRPr="00F118EB" w:rsidRDefault="00493A2E" w:rsidP="009F65C0">
            <w:pPr>
              <w:snapToGrid w:val="0"/>
              <w:jc w:val="center"/>
              <w:rPr>
                <w:bCs/>
                <w:sz w:val="22"/>
                <w:szCs w:val="22"/>
                <w:lang w:val="en-GB"/>
              </w:rPr>
            </w:pPr>
            <w:r w:rsidRPr="00F118EB">
              <w:rPr>
                <w:bCs/>
                <w:sz w:val="22"/>
                <w:szCs w:val="22"/>
                <w:lang w:val="en-GB"/>
              </w:rPr>
              <w:t>Khoản 4</w:t>
            </w:r>
          </w:p>
        </w:tc>
        <w:tc>
          <w:tcPr>
            <w:tcW w:w="4861" w:type="dxa"/>
          </w:tcPr>
          <w:p w14:paraId="0443AA30" w14:textId="5F9917D3" w:rsidR="00493A2E" w:rsidRPr="00F118EB" w:rsidRDefault="00493A2E" w:rsidP="009F65C0">
            <w:pPr>
              <w:snapToGrid w:val="0"/>
              <w:jc w:val="both"/>
              <w:rPr>
                <w:b/>
                <w:sz w:val="22"/>
                <w:szCs w:val="22"/>
                <w:lang w:val="en-GB"/>
              </w:rPr>
            </w:pPr>
            <w:r w:rsidRPr="00F118EB">
              <w:rPr>
                <w:bCs/>
                <w:sz w:val="22"/>
                <w:szCs w:val="22"/>
                <w:lang w:val="en-GB"/>
              </w:rPr>
              <w:t>Trường hợp nhà sản xuất thực hiện tái chế cao hơn tỷ lệ tái chế bắt buộc quy định tại khoản 1 Điều này thì được bảo lưu phần tỷ lệ chênh lệch để tính vào tỷ lệ tái chế của các năm tiếp theo; thời gian bảo lưu là 03 năm</w:t>
            </w:r>
          </w:p>
        </w:tc>
        <w:tc>
          <w:tcPr>
            <w:tcW w:w="4222" w:type="dxa"/>
          </w:tcPr>
          <w:p w14:paraId="32E496F4" w14:textId="73E2AC14" w:rsidR="00493A2E" w:rsidRPr="00F118EB" w:rsidRDefault="00075A51" w:rsidP="009F65C0">
            <w:pPr>
              <w:snapToGrid w:val="0"/>
              <w:jc w:val="both"/>
              <w:rPr>
                <w:sz w:val="22"/>
                <w:szCs w:val="22"/>
              </w:rPr>
            </w:pPr>
            <w:r w:rsidRPr="00F118EB">
              <w:rPr>
                <w:bCs/>
                <w:sz w:val="22"/>
                <w:szCs w:val="22"/>
                <w:lang w:val="en-GB"/>
              </w:rPr>
              <w:t>Ban soạn thảo nên xem xét cả trường hợp tỷ lệ tái chế thấp hơn tỷ lệ tái chế bắt buộc thì nhà sản xuất được bảo lưu phần tỷ lệ chênh lệch để tính vào tỷ lệ tái chế của các năm tiếp theo; thời gian bảo lưu là 03 năm.</w:t>
            </w:r>
          </w:p>
        </w:tc>
        <w:tc>
          <w:tcPr>
            <w:tcW w:w="3968" w:type="dxa"/>
          </w:tcPr>
          <w:p w14:paraId="66305EE8" w14:textId="425133AC" w:rsidR="00611FD2" w:rsidRPr="00F118EB" w:rsidRDefault="00611FD2" w:rsidP="009F65C0">
            <w:pPr>
              <w:snapToGrid w:val="0"/>
              <w:jc w:val="both"/>
              <w:rPr>
                <w:bCs/>
                <w:sz w:val="22"/>
                <w:szCs w:val="22"/>
                <w:lang w:val="en-GB"/>
              </w:rPr>
            </w:pPr>
            <w:r w:rsidRPr="00F118EB">
              <w:rPr>
                <w:bCs/>
                <w:sz w:val="22"/>
                <w:szCs w:val="22"/>
                <w:lang w:val="en-GB"/>
              </w:rPr>
              <w:t xml:space="preserve">Đề nghị sửa thành: </w:t>
            </w:r>
          </w:p>
          <w:p w14:paraId="067FEC3B" w14:textId="403824B4" w:rsidR="00E24CCA" w:rsidRPr="00F118EB" w:rsidRDefault="00611FD2" w:rsidP="009F65C0">
            <w:pPr>
              <w:snapToGrid w:val="0"/>
              <w:jc w:val="both"/>
              <w:rPr>
                <w:bCs/>
                <w:i/>
                <w:iCs/>
                <w:sz w:val="22"/>
                <w:szCs w:val="22"/>
                <w:lang w:val="en-GB"/>
              </w:rPr>
            </w:pPr>
            <w:r w:rsidRPr="00F118EB">
              <w:rPr>
                <w:bCs/>
                <w:i/>
                <w:iCs/>
                <w:sz w:val="22"/>
                <w:szCs w:val="22"/>
                <w:lang w:val="en-GB"/>
              </w:rPr>
              <w:t>“</w:t>
            </w:r>
            <w:r w:rsidR="00075A51" w:rsidRPr="00F118EB">
              <w:rPr>
                <w:bCs/>
                <w:i/>
                <w:iCs/>
                <w:sz w:val="22"/>
                <w:szCs w:val="22"/>
                <w:lang w:val="en-GB"/>
              </w:rPr>
              <w:t xml:space="preserve">Trường hợp nhà sản xuất thực hiện tái chế cao hơn </w:t>
            </w:r>
            <w:r w:rsidR="00075A51" w:rsidRPr="00F118EB">
              <w:rPr>
                <w:b/>
                <w:i/>
                <w:iCs/>
                <w:sz w:val="22"/>
                <w:szCs w:val="22"/>
                <w:lang w:val="en-GB"/>
              </w:rPr>
              <w:t>hoặc thấp hơn</w:t>
            </w:r>
            <w:r w:rsidR="00075A51" w:rsidRPr="00F118EB">
              <w:rPr>
                <w:bCs/>
                <w:i/>
                <w:iCs/>
                <w:sz w:val="22"/>
                <w:szCs w:val="22"/>
                <w:lang w:val="en-GB"/>
              </w:rPr>
              <w:t xml:space="preserve"> tỷ lệ tái chế bắt buộc quy định tại khoản 1 Điều này thì được bảo lưu phần tỷ lệ chênh lệch để tính vào tỷ lệ tái chế của các năm tiếp theo; thời gian bảo lưu là 03 năm</w:t>
            </w:r>
            <w:r w:rsidRPr="00F118EB">
              <w:rPr>
                <w:bCs/>
                <w:i/>
                <w:iCs/>
                <w:sz w:val="22"/>
                <w:szCs w:val="22"/>
                <w:lang w:val="en-GB"/>
              </w:rPr>
              <w:t>.”</w:t>
            </w:r>
          </w:p>
        </w:tc>
      </w:tr>
      <w:tr w:rsidR="00493A2E" w:rsidRPr="00F118EB" w14:paraId="271A9C2F" w14:textId="77777777" w:rsidTr="00E24CCA">
        <w:trPr>
          <w:trHeight w:val="530"/>
        </w:trPr>
        <w:tc>
          <w:tcPr>
            <w:tcW w:w="715" w:type="dxa"/>
            <w:vMerge/>
            <w:vAlign w:val="center"/>
          </w:tcPr>
          <w:p w14:paraId="1073DF24" w14:textId="77777777" w:rsidR="00493A2E" w:rsidRPr="00F118EB" w:rsidRDefault="00493A2E" w:rsidP="009F65C0">
            <w:pPr>
              <w:snapToGrid w:val="0"/>
              <w:jc w:val="right"/>
              <w:rPr>
                <w:bCs/>
                <w:sz w:val="22"/>
                <w:szCs w:val="22"/>
                <w:lang w:val="en-GB"/>
              </w:rPr>
            </w:pPr>
          </w:p>
        </w:tc>
        <w:tc>
          <w:tcPr>
            <w:tcW w:w="1259" w:type="dxa"/>
            <w:vAlign w:val="center"/>
          </w:tcPr>
          <w:p w14:paraId="48442B37" w14:textId="77777777" w:rsidR="00493A2E" w:rsidRPr="00F118EB" w:rsidRDefault="00493A2E" w:rsidP="009F65C0">
            <w:pPr>
              <w:snapToGrid w:val="0"/>
              <w:jc w:val="center"/>
              <w:rPr>
                <w:bCs/>
                <w:sz w:val="22"/>
                <w:szCs w:val="22"/>
                <w:lang w:val="en-GB"/>
              </w:rPr>
            </w:pPr>
            <w:r w:rsidRPr="00F118EB">
              <w:rPr>
                <w:bCs/>
                <w:sz w:val="22"/>
                <w:szCs w:val="22"/>
                <w:lang w:val="en-GB"/>
              </w:rPr>
              <w:t>Khoản 5</w:t>
            </w:r>
          </w:p>
          <w:p w14:paraId="7A3AAD3A" w14:textId="77777777" w:rsidR="00493A2E" w:rsidRPr="00F118EB" w:rsidRDefault="00493A2E" w:rsidP="009F65C0">
            <w:pPr>
              <w:snapToGrid w:val="0"/>
              <w:jc w:val="center"/>
              <w:rPr>
                <w:bCs/>
                <w:sz w:val="22"/>
                <w:szCs w:val="22"/>
                <w:lang w:val="en-GB"/>
              </w:rPr>
            </w:pPr>
          </w:p>
          <w:p w14:paraId="38147884" w14:textId="77777777" w:rsidR="00493A2E" w:rsidRPr="00F118EB" w:rsidRDefault="00493A2E" w:rsidP="009F65C0">
            <w:pPr>
              <w:snapToGrid w:val="0"/>
              <w:jc w:val="center"/>
              <w:rPr>
                <w:bCs/>
                <w:sz w:val="22"/>
                <w:szCs w:val="22"/>
                <w:lang w:val="en-GB"/>
              </w:rPr>
            </w:pPr>
          </w:p>
          <w:p w14:paraId="04602FE8" w14:textId="77777777" w:rsidR="00493A2E" w:rsidRPr="00F118EB" w:rsidRDefault="00493A2E" w:rsidP="009F65C0">
            <w:pPr>
              <w:snapToGrid w:val="0"/>
              <w:jc w:val="center"/>
              <w:rPr>
                <w:bCs/>
                <w:sz w:val="22"/>
                <w:szCs w:val="22"/>
                <w:lang w:val="en-GB"/>
              </w:rPr>
            </w:pPr>
          </w:p>
          <w:p w14:paraId="791A837C" w14:textId="77777777" w:rsidR="00493A2E" w:rsidRPr="00F118EB" w:rsidRDefault="00493A2E" w:rsidP="009F65C0">
            <w:pPr>
              <w:snapToGrid w:val="0"/>
              <w:jc w:val="center"/>
              <w:rPr>
                <w:bCs/>
                <w:sz w:val="22"/>
                <w:szCs w:val="22"/>
                <w:lang w:val="en-GB"/>
              </w:rPr>
            </w:pPr>
          </w:p>
          <w:p w14:paraId="093332B2" w14:textId="77777777" w:rsidR="00493A2E" w:rsidRPr="00F118EB" w:rsidRDefault="00493A2E" w:rsidP="009F65C0">
            <w:pPr>
              <w:snapToGrid w:val="0"/>
              <w:jc w:val="center"/>
              <w:rPr>
                <w:bCs/>
                <w:sz w:val="22"/>
                <w:szCs w:val="22"/>
                <w:lang w:val="en-GB"/>
              </w:rPr>
            </w:pPr>
          </w:p>
          <w:p w14:paraId="0C2C99E1" w14:textId="77777777" w:rsidR="00493A2E" w:rsidRPr="00F118EB" w:rsidRDefault="00493A2E" w:rsidP="009F65C0">
            <w:pPr>
              <w:snapToGrid w:val="0"/>
              <w:jc w:val="center"/>
              <w:rPr>
                <w:bCs/>
                <w:sz w:val="22"/>
                <w:szCs w:val="22"/>
                <w:lang w:val="en-GB"/>
              </w:rPr>
            </w:pPr>
          </w:p>
          <w:p w14:paraId="2617FD98" w14:textId="77777777" w:rsidR="00493A2E" w:rsidRPr="00F118EB" w:rsidRDefault="00493A2E" w:rsidP="009F65C0">
            <w:pPr>
              <w:snapToGrid w:val="0"/>
              <w:jc w:val="center"/>
              <w:rPr>
                <w:bCs/>
                <w:sz w:val="22"/>
                <w:szCs w:val="22"/>
                <w:lang w:val="en-GB"/>
              </w:rPr>
            </w:pPr>
          </w:p>
          <w:p w14:paraId="0168742F" w14:textId="77777777" w:rsidR="00493A2E" w:rsidRPr="00F118EB" w:rsidRDefault="00493A2E" w:rsidP="009F65C0">
            <w:pPr>
              <w:snapToGrid w:val="0"/>
              <w:jc w:val="center"/>
              <w:rPr>
                <w:bCs/>
                <w:sz w:val="22"/>
                <w:szCs w:val="22"/>
                <w:lang w:val="en-GB"/>
              </w:rPr>
            </w:pPr>
          </w:p>
          <w:p w14:paraId="1F3DD8E3" w14:textId="77777777" w:rsidR="00493A2E" w:rsidRPr="00F118EB" w:rsidRDefault="00493A2E" w:rsidP="009F65C0">
            <w:pPr>
              <w:snapToGrid w:val="0"/>
              <w:jc w:val="center"/>
              <w:rPr>
                <w:bCs/>
                <w:sz w:val="22"/>
                <w:szCs w:val="22"/>
                <w:lang w:val="en-GB"/>
              </w:rPr>
            </w:pPr>
          </w:p>
          <w:p w14:paraId="22B63D95" w14:textId="77777777" w:rsidR="00493A2E" w:rsidRPr="00F118EB" w:rsidRDefault="00493A2E" w:rsidP="009F65C0">
            <w:pPr>
              <w:snapToGrid w:val="0"/>
              <w:jc w:val="center"/>
              <w:rPr>
                <w:bCs/>
                <w:sz w:val="22"/>
                <w:szCs w:val="22"/>
                <w:lang w:val="en-GB"/>
              </w:rPr>
            </w:pPr>
          </w:p>
          <w:p w14:paraId="44653630" w14:textId="77777777" w:rsidR="00493A2E" w:rsidRPr="00F118EB" w:rsidRDefault="00493A2E" w:rsidP="009F65C0">
            <w:pPr>
              <w:snapToGrid w:val="0"/>
              <w:jc w:val="center"/>
              <w:rPr>
                <w:bCs/>
                <w:sz w:val="22"/>
                <w:szCs w:val="22"/>
                <w:lang w:val="en-GB"/>
              </w:rPr>
            </w:pPr>
          </w:p>
          <w:p w14:paraId="79DCA258" w14:textId="77777777" w:rsidR="00493A2E" w:rsidRPr="00F118EB" w:rsidRDefault="00493A2E" w:rsidP="009F65C0">
            <w:pPr>
              <w:snapToGrid w:val="0"/>
              <w:jc w:val="center"/>
              <w:rPr>
                <w:bCs/>
                <w:sz w:val="22"/>
                <w:szCs w:val="22"/>
                <w:lang w:val="en-GB"/>
              </w:rPr>
            </w:pPr>
          </w:p>
          <w:p w14:paraId="204CF678" w14:textId="77777777" w:rsidR="00493A2E" w:rsidRPr="00F118EB" w:rsidRDefault="00493A2E" w:rsidP="009F65C0">
            <w:pPr>
              <w:snapToGrid w:val="0"/>
              <w:jc w:val="center"/>
              <w:rPr>
                <w:bCs/>
                <w:sz w:val="22"/>
                <w:szCs w:val="22"/>
                <w:lang w:val="en-GB"/>
              </w:rPr>
            </w:pPr>
          </w:p>
          <w:p w14:paraId="43980DAB" w14:textId="77777777" w:rsidR="00493A2E" w:rsidRPr="00F118EB" w:rsidRDefault="00493A2E" w:rsidP="009F65C0">
            <w:pPr>
              <w:snapToGrid w:val="0"/>
              <w:jc w:val="center"/>
              <w:rPr>
                <w:bCs/>
                <w:sz w:val="22"/>
                <w:szCs w:val="22"/>
                <w:lang w:val="en-GB"/>
              </w:rPr>
            </w:pPr>
          </w:p>
          <w:p w14:paraId="3B513C2D" w14:textId="77777777" w:rsidR="00493A2E" w:rsidRPr="00F118EB" w:rsidRDefault="00493A2E" w:rsidP="009F65C0">
            <w:pPr>
              <w:snapToGrid w:val="0"/>
              <w:jc w:val="center"/>
              <w:rPr>
                <w:bCs/>
                <w:sz w:val="22"/>
                <w:szCs w:val="22"/>
                <w:lang w:val="en-GB"/>
              </w:rPr>
            </w:pPr>
          </w:p>
        </w:tc>
        <w:tc>
          <w:tcPr>
            <w:tcW w:w="4861" w:type="dxa"/>
          </w:tcPr>
          <w:p w14:paraId="367E6922" w14:textId="77777777" w:rsidR="00493A2E" w:rsidRPr="00F118EB" w:rsidRDefault="00493A2E" w:rsidP="009F65C0">
            <w:pPr>
              <w:snapToGrid w:val="0"/>
              <w:jc w:val="both"/>
              <w:rPr>
                <w:bCs/>
                <w:sz w:val="22"/>
                <w:szCs w:val="22"/>
                <w:lang w:val="en-GB"/>
              </w:rPr>
            </w:pPr>
            <w:r w:rsidRPr="00F118EB">
              <w:rPr>
                <w:bCs/>
                <w:sz w:val="22"/>
                <w:szCs w:val="22"/>
                <w:lang w:val="en-GB"/>
              </w:rPr>
              <w:lastRenderedPageBreak/>
              <w:t>Quy trình xác định tỷ lệ tái chế bắt buộc được quy định như sau:</w:t>
            </w:r>
          </w:p>
          <w:p w14:paraId="52275DEB" w14:textId="5780BB65" w:rsidR="00493A2E" w:rsidRPr="00F118EB" w:rsidRDefault="00493A2E" w:rsidP="009F65C0">
            <w:pPr>
              <w:snapToGrid w:val="0"/>
              <w:jc w:val="both"/>
              <w:rPr>
                <w:bCs/>
                <w:sz w:val="22"/>
                <w:szCs w:val="22"/>
                <w:lang w:val="en-GB"/>
              </w:rPr>
            </w:pPr>
            <w:r w:rsidRPr="00F118EB">
              <w:rPr>
                <w:bCs/>
                <w:sz w:val="22"/>
                <w:szCs w:val="22"/>
                <w:lang w:val="en-GB"/>
              </w:rPr>
              <w:t xml:space="preserve">a) Căn cứ quy định tại khoản 2 Điều này, Văn phòng thực hiện trách nhiệm của nhà sản xuất, nhập khẩu </w:t>
            </w:r>
            <w:r w:rsidRPr="00F118EB">
              <w:rPr>
                <w:bCs/>
                <w:sz w:val="22"/>
                <w:szCs w:val="22"/>
                <w:lang w:val="en-GB"/>
              </w:rPr>
              <w:lastRenderedPageBreak/>
              <w:t>Việt Nam (sau đây viết tắt là Văn phòng EPR Việt Nam) xác định tỷ lệ tái chế bắt buộc</w:t>
            </w:r>
            <w:r w:rsidR="00E922C2" w:rsidRPr="00F118EB">
              <w:rPr>
                <w:bCs/>
                <w:sz w:val="22"/>
                <w:szCs w:val="22"/>
                <w:lang w:val="en-GB"/>
              </w:rPr>
              <w:t>.</w:t>
            </w:r>
          </w:p>
          <w:p w14:paraId="14EF3545" w14:textId="62C684AF" w:rsidR="00493A2E" w:rsidRPr="00F118EB" w:rsidRDefault="00493A2E" w:rsidP="009F65C0">
            <w:pPr>
              <w:snapToGrid w:val="0"/>
              <w:jc w:val="both"/>
              <w:rPr>
                <w:bCs/>
                <w:sz w:val="22"/>
                <w:szCs w:val="22"/>
                <w:lang w:val="en-GB"/>
              </w:rPr>
            </w:pPr>
            <w:r w:rsidRPr="00F118EB">
              <w:rPr>
                <w:bCs/>
                <w:sz w:val="22"/>
                <w:szCs w:val="22"/>
                <w:lang w:val="en-GB"/>
              </w:rPr>
              <w:t>b) Văn phòng EPR Việt Nam tổ chức khảo sát thực tế, tham vấn tổ chức, cá nhân có liên quan và đề xuất tỷ lệ tái chế bắt buộc</w:t>
            </w:r>
            <w:r w:rsidR="00E922C2" w:rsidRPr="00F118EB">
              <w:rPr>
                <w:bCs/>
                <w:sz w:val="22"/>
                <w:szCs w:val="22"/>
                <w:lang w:val="en-GB"/>
              </w:rPr>
              <w:t>.</w:t>
            </w:r>
          </w:p>
          <w:p w14:paraId="7543CA44" w14:textId="77777777" w:rsidR="00493A2E" w:rsidRPr="00F118EB" w:rsidRDefault="00493A2E" w:rsidP="009F65C0">
            <w:pPr>
              <w:snapToGrid w:val="0"/>
              <w:jc w:val="both"/>
              <w:rPr>
                <w:bCs/>
                <w:sz w:val="22"/>
                <w:szCs w:val="22"/>
                <w:lang w:val="en-GB"/>
              </w:rPr>
            </w:pPr>
            <w:r w:rsidRPr="00F118EB">
              <w:rPr>
                <w:bCs/>
                <w:sz w:val="22"/>
                <w:szCs w:val="22"/>
                <w:lang w:val="en-GB"/>
              </w:rPr>
              <w:t>c) Hội đồng quốc gia thực hiện trách nhiệm của nhà sản xuất, nhập khẩu (sau đây viết tắt là Hội đồng EPR quốc gia) thảo luận, thông qua tỷ lệ tái chế bắt buộc trên cơ sở các yếu tố quy định tại khoản 1 Điều này;</w:t>
            </w:r>
          </w:p>
          <w:p w14:paraId="1753C4CE" w14:textId="28A1E4F5" w:rsidR="00493A2E" w:rsidRPr="00F118EB" w:rsidRDefault="00493A2E" w:rsidP="009F65C0">
            <w:pPr>
              <w:snapToGrid w:val="0"/>
              <w:jc w:val="both"/>
              <w:rPr>
                <w:bCs/>
                <w:sz w:val="22"/>
                <w:szCs w:val="22"/>
                <w:lang w:val="en-GB"/>
              </w:rPr>
            </w:pPr>
            <w:r w:rsidRPr="00F118EB">
              <w:rPr>
                <w:bCs/>
                <w:sz w:val="22"/>
                <w:szCs w:val="22"/>
                <w:lang w:val="en-GB"/>
              </w:rPr>
              <w:t>d) Bộ trưởng Bộ Tài nguyên và Môi trường ban hành tỷ lệ tái chế bắt buộc trên cơ sở đề nghị của Hội đồng EPR quốc gia.</w:t>
            </w:r>
          </w:p>
        </w:tc>
        <w:tc>
          <w:tcPr>
            <w:tcW w:w="4222" w:type="dxa"/>
            <w:vAlign w:val="center"/>
          </w:tcPr>
          <w:p w14:paraId="43898E03" w14:textId="583E735D" w:rsidR="00493A2E" w:rsidRPr="00F118EB" w:rsidRDefault="00FB4185" w:rsidP="009F65C0">
            <w:pPr>
              <w:snapToGrid w:val="0"/>
              <w:jc w:val="both"/>
              <w:rPr>
                <w:bCs/>
                <w:sz w:val="22"/>
                <w:szCs w:val="22"/>
                <w:lang w:val="en-GB"/>
              </w:rPr>
            </w:pPr>
            <w:r>
              <w:rPr>
                <w:bCs/>
                <w:sz w:val="22"/>
                <w:szCs w:val="22"/>
                <w:lang w:val="en-GB"/>
              </w:rPr>
              <w:lastRenderedPageBreak/>
              <w:t xml:space="preserve">- </w:t>
            </w:r>
            <w:r w:rsidR="00075A51" w:rsidRPr="00F118EB">
              <w:rPr>
                <w:bCs/>
                <w:sz w:val="22"/>
                <w:szCs w:val="22"/>
                <w:lang w:val="en-GB"/>
              </w:rPr>
              <w:t xml:space="preserve">Nghị định cần đưa ra </w:t>
            </w:r>
            <w:r>
              <w:rPr>
                <w:bCs/>
                <w:sz w:val="22"/>
                <w:szCs w:val="22"/>
                <w:lang w:val="en-GB"/>
              </w:rPr>
              <w:t xml:space="preserve">LỘ TRÌNH </w:t>
            </w:r>
            <w:r w:rsidR="0010434A" w:rsidRPr="00F118EB">
              <w:rPr>
                <w:bCs/>
                <w:sz w:val="22"/>
                <w:szCs w:val="22"/>
                <w:lang w:val="en-GB"/>
              </w:rPr>
              <w:t>cụ thể</w:t>
            </w:r>
            <w:r>
              <w:rPr>
                <w:bCs/>
                <w:sz w:val="22"/>
                <w:szCs w:val="22"/>
                <w:lang w:val="en-GB"/>
              </w:rPr>
              <w:t>: đưa ra</w:t>
            </w:r>
            <w:r w:rsidR="0010434A" w:rsidRPr="00F118EB">
              <w:rPr>
                <w:bCs/>
                <w:sz w:val="22"/>
                <w:szCs w:val="22"/>
                <w:lang w:val="en-GB"/>
              </w:rPr>
              <w:t xml:space="preserve"> </w:t>
            </w:r>
            <w:r w:rsidR="00075A51" w:rsidRPr="00F118EB">
              <w:rPr>
                <w:bCs/>
                <w:sz w:val="22"/>
                <w:szCs w:val="22"/>
                <w:lang w:val="en-GB"/>
              </w:rPr>
              <w:t>tỷ lệ tái chế bắt buộc</w:t>
            </w:r>
            <w:r w:rsidR="0010434A" w:rsidRPr="00F118EB">
              <w:rPr>
                <w:bCs/>
                <w:sz w:val="22"/>
                <w:szCs w:val="22"/>
                <w:lang w:val="en-GB"/>
              </w:rPr>
              <w:t xml:space="preserve"> lúc đầu,</w:t>
            </w:r>
            <w:r w:rsidR="00075A51" w:rsidRPr="00F118EB">
              <w:rPr>
                <w:bCs/>
                <w:sz w:val="22"/>
                <w:szCs w:val="22"/>
                <w:lang w:val="en-GB"/>
              </w:rPr>
              <w:t xml:space="preserve"> tăng dần </w:t>
            </w:r>
            <w:r w:rsidR="0010434A" w:rsidRPr="00F118EB">
              <w:rPr>
                <w:bCs/>
                <w:sz w:val="22"/>
                <w:szCs w:val="22"/>
                <w:lang w:val="en-GB"/>
              </w:rPr>
              <w:t>mỗi</w:t>
            </w:r>
            <w:r w:rsidR="00075A51" w:rsidRPr="00F118EB">
              <w:rPr>
                <w:bCs/>
                <w:sz w:val="22"/>
                <w:szCs w:val="22"/>
                <w:lang w:val="en-GB"/>
              </w:rPr>
              <w:t xml:space="preserve"> </w:t>
            </w:r>
            <w:r w:rsidR="00265A3B" w:rsidRPr="00F118EB">
              <w:rPr>
                <w:bCs/>
                <w:sz w:val="22"/>
                <w:szCs w:val="22"/>
                <w:lang w:val="en-GB"/>
              </w:rPr>
              <w:t xml:space="preserve">3 </w:t>
            </w:r>
            <w:r w:rsidR="00075A51" w:rsidRPr="00F118EB">
              <w:rPr>
                <w:bCs/>
                <w:sz w:val="22"/>
                <w:szCs w:val="22"/>
                <w:lang w:val="en-GB"/>
              </w:rPr>
              <w:t>năm cho đến khi đạt được tỷ lệ tái chế cần thiết, và được tham gia ý kiến bởi các hiệp hội, ngành nghề có liên quan.</w:t>
            </w:r>
          </w:p>
          <w:p w14:paraId="5C65D002" w14:textId="11C7F619" w:rsidR="0010434A" w:rsidRPr="00F118EB" w:rsidRDefault="00FB4185" w:rsidP="009F65C0">
            <w:pPr>
              <w:snapToGrid w:val="0"/>
              <w:jc w:val="both"/>
              <w:rPr>
                <w:bCs/>
                <w:sz w:val="22"/>
                <w:szCs w:val="22"/>
                <w:lang w:val="en-GB"/>
              </w:rPr>
            </w:pPr>
            <w:r>
              <w:rPr>
                <w:sz w:val="22"/>
                <w:szCs w:val="22"/>
              </w:rPr>
              <w:lastRenderedPageBreak/>
              <w:t xml:space="preserve">- </w:t>
            </w:r>
            <w:r w:rsidR="00265A3B" w:rsidRPr="00F118EB">
              <w:rPr>
                <w:sz w:val="22"/>
                <w:szCs w:val="22"/>
              </w:rPr>
              <w:t>Tỷ lệ tái chế bắt buộc cần bắt đầu với tỷ lệ thấp như 50-60% trong 3 năm đầu tiên và có thể tăng dần theo thời gian. Không thể quy định một tỷ lệ bắt buộc cao như 70-80% ngay sau khi Luật/Nghị định có hiệu lực.</w:t>
            </w:r>
          </w:p>
          <w:p w14:paraId="03B1BF1F" w14:textId="5C3FAC75" w:rsidR="0010434A" w:rsidRPr="00F118EB" w:rsidRDefault="00FB4185" w:rsidP="009F65C0">
            <w:pPr>
              <w:snapToGrid w:val="0"/>
              <w:jc w:val="both"/>
              <w:rPr>
                <w:bCs/>
                <w:sz w:val="22"/>
                <w:szCs w:val="22"/>
                <w:lang w:val="en-GB"/>
              </w:rPr>
            </w:pPr>
            <w:r>
              <w:rPr>
                <w:bCs/>
                <w:sz w:val="22"/>
                <w:szCs w:val="22"/>
                <w:lang w:val="en-GB"/>
              </w:rPr>
              <w:t xml:space="preserve">- </w:t>
            </w:r>
            <w:r w:rsidR="0010434A" w:rsidRPr="00F118EB">
              <w:rPr>
                <w:bCs/>
                <w:sz w:val="22"/>
                <w:szCs w:val="22"/>
                <w:lang w:val="en-GB"/>
              </w:rPr>
              <w:t xml:space="preserve">Vì đây là vấn đề ảnh hưởng đến sản xuất-kinh doanh của cả nước, và Nghị định là thuộc thẩm quyền của Chính phủ, tỷ lệ tái chế bắt buộc cần được </w:t>
            </w:r>
            <w:r w:rsidR="0010434A" w:rsidRPr="00F118EB">
              <w:rPr>
                <w:i/>
                <w:iCs/>
                <w:sz w:val="22"/>
                <w:szCs w:val="22"/>
                <w:shd w:val="clear" w:color="auto" w:fill="FFFFFF"/>
              </w:rPr>
              <w:t xml:space="preserve"> </w:t>
            </w:r>
            <w:r w:rsidR="0010434A" w:rsidRPr="00F118EB">
              <w:rPr>
                <w:sz w:val="22"/>
                <w:szCs w:val="22"/>
                <w:shd w:val="clear" w:color="auto" w:fill="FFFFFF"/>
              </w:rPr>
              <w:t>Bộ Tài nguyên và Môi trường đề xuất và được Chính phủ chấp thuận</w:t>
            </w:r>
          </w:p>
        </w:tc>
        <w:tc>
          <w:tcPr>
            <w:tcW w:w="3968" w:type="dxa"/>
          </w:tcPr>
          <w:p w14:paraId="52C76668" w14:textId="77777777" w:rsidR="0010434A" w:rsidRPr="00F118EB" w:rsidRDefault="00E922C2" w:rsidP="009F65C0">
            <w:pPr>
              <w:snapToGrid w:val="0"/>
              <w:jc w:val="both"/>
              <w:rPr>
                <w:bCs/>
                <w:sz w:val="22"/>
                <w:szCs w:val="22"/>
                <w:lang w:val="en-GB"/>
              </w:rPr>
            </w:pPr>
            <w:r w:rsidRPr="00F118EB">
              <w:rPr>
                <w:bCs/>
                <w:sz w:val="22"/>
                <w:szCs w:val="22"/>
                <w:lang w:val="en-GB"/>
              </w:rPr>
              <w:lastRenderedPageBreak/>
              <w:t>Đề nghị sửa quy định này theo hướng</w:t>
            </w:r>
            <w:r w:rsidR="0010434A" w:rsidRPr="00F118EB">
              <w:rPr>
                <w:bCs/>
                <w:sz w:val="22"/>
                <w:szCs w:val="22"/>
                <w:lang w:val="en-GB"/>
              </w:rPr>
              <w:t>:</w:t>
            </w:r>
          </w:p>
          <w:p w14:paraId="34BB4BFC" w14:textId="23AD47FF" w:rsidR="00493A2E" w:rsidRPr="00F118EB" w:rsidRDefault="0010434A" w:rsidP="009F65C0">
            <w:pPr>
              <w:snapToGrid w:val="0"/>
              <w:jc w:val="both"/>
              <w:rPr>
                <w:bCs/>
                <w:sz w:val="22"/>
                <w:szCs w:val="22"/>
                <w:lang w:val="en-GB"/>
              </w:rPr>
            </w:pPr>
            <w:r w:rsidRPr="00F118EB">
              <w:rPr>
                <w:bCs/>
                <w:sz w:val="22"/>
                <w:szCs w:val="22"/>
                <w:lang w:val="en-GB"/>
              </w:rPr>
              <w:t>a) T</w:t>
            </w:r>
            <w:r w:rsidR="00E922C2" w:rsidRPr="00F118EB">
              <w:rPr>
                <w:bCs/>
                <w:sz w:val="22"/>
                <w:szCs w:val="22"/>
                <w:lang w:val="en-GB"/>
              </w:rPr>
              <w:t xml:space="preserve">ỷ lệ tái chế bắt buộc trong ba (03) năm đầu tiên do hiệp hội, ngành nghề tự đăng ký và không áp dụng hình thức xử phạt </w:t>
            </w:r>
            <w:r w:rsidR="00E922C2" w:rsidRPr="00F118EB">
              <w:rPr>
                <w:bCs/>
                <w:sz w:val="22"/>
                <w:szCs w:val="22"/>
                <w:lang w:val="en-GB"/>
              </w:rPr>
              <w:lastRenderedPageBreak/>
              <w:t>hành chính đối với những tổ chức, cá nhân thực hiện tái chế thấp hơn mức đăng ký này</w:t>
            </w:r>
          </w:p>
          <w:p w14:paraId="49CA8B84" w14:textId="4986E0AE" w:rsidR="0010434A" w:rsidRPr="00F118EB" w:rsidRDefault="0010434A" w:rsidP="009F65C0">
            <w:pPr>
              <w:snapToGrid w:val="0"/>
              <w:jc w:val="both"/>
              <w:rPr>
                <w:bCs/>
                <w:sz w:val="22"/>
                <w:szCs w:val="22"/>
                <w:lang w:val="en-GB"/>
              </w:rPr>
            </w:pPr>
            <w:r w:rsidRPr="00F118EB">
              <w:rPr>
                <w:bCs/>
                <w:sz w:val="22"/>
                <w:szCs w:val="22"/>
                <w:lang w:val="en-GB"/>
              </w:rPr>
              <w:t>b) Tỷ lệ tái chế bắt buộc từ 1/1/2025 là (đưa ra con số cụ thể cho từng loại bao bì</w:t>
            </w:r>
            <w:r w:rsidR="00265A3B" w:rsidRPr="00F118EB">
              <w:rPr>
                <w:bCs/>
                <w:sz w:val="22"/>
                <w:szCs w:val="22"/>
                <w:lang w:val="en-GB"/>
              </w:rPr>
              <w:t>, và nên để ở mức 50-60%</w:t>
            </w:r>
            <w:r w:rsidRPr="00F118EB">
              <w:rPr>
                <w:bCs/>
                <w:sz w:val="22"/>
                <w:szCs w:val="22"/>
                <w:lang w:val="en-GB"/>
              </w:rPr>
              <w:t>)</w:t>
            </w:r>
          </w:p>
          <w:p w14:paraId="79E2B0D0" w14:textId="77777777" w:rsidR="0010434A" w:rsidRPr="00F118EB" w:rsidRDefault="0010434A" w:rsidP="009F65C0">
            <w:pPr>
              <w:snapToGrid w:val="0"/>
              <w:jc w:val="both"/>
              <w:rPr>
                <w:bCs/>
                <w:sz w:val="22"/>
                <w:szCs w:val="22"/>
                <w:lang w:val="en-GB"/>
              </w:rPr>
            </w:pPr>
          </w:p>
          <w:p w14:paraId="45A21816" w14:textId="0926D1BA" w:rsidR="0010434A" w:rsidRPr="00F118EB" w:rsidRDefault="0010434A" w:rsidP="009F65C0">
            <w:pPr>
              <w:snapToGrid w:val="0"/>
              <w:jc w:val="both"/>
              <w:rPr>
                <w:bCs/>
                <w:sz w:val="22"/>
                <w:szCs w:val="22"/>
                <w:lang w:val="en-GB"/>
              </w:rPr>
            </w:pPr>
            <w:r w:rsidRPr="00F118EB">
              <w:rPr>
                <w:bCs/>
                <w:sz w:val="22"/>
                <w:szCs w:val="22"/>
                <w:lang w:val="en-GB"/>
              </w:rPr>
              <w:t xml:space="preserve">c) Trên cơ sở tình hình thực tiễn, Bộ Tài nguyên môi trường đề xuất lộ trình tăng dần tỷ lệ tái chế bắt buộc </w:t>
            </w:r>
            <w:r w:rsidR="00265A3B" w:rsidRPr="00F118EB">
              <w:rPr>
                <w:bCs/>
                <w:sz w:val="22"/>
                <w:szCs w:val="22"/>
                <w:lang w:val="en-GB"/>
              </w:rPr>
              <w:t xml:space="preserve">cho mỗi 03 </w:t>
            </w:r>
            <w:r w:rsidRPr="00F118EB">
              <w:rPr>
                <w:bCs/>
                <w:sz w:val="22"/>
                <w:szCs w:val="22"/>
                <w:lang w:val="en-GB"/>
              </w:rPr>
              <w:t>năm tiếp theo</w:t>
            </w:r>
            <w:r w:rsidR="00265A3B" w:rsidRPr="00F118EB">
              <w:rPr>
                <w:bCs/>
                <w:sz w:val="22"/>
                <w:szCs w:val="22"/>
                <w:lang w:val="en-GB"/>
              </w:rPr>
              <w:t xml:space="preserve"> để</w:t>
            </w:r>
            <w:r w:rsidRPr="00F118EB">
              <w:rPr>
                <w:bCs/>
                <w:sz w:val="22"/>
                <w:szCs w:val="22"/>
                <w:lang w:val="en-GB"/>
              </w:rPr>
              <w:t xml:space="preserve"> Chính phủ phê duyệt </w:t>
            </w:r>
          </w:p>
          <w:p w14:paraId="54FDC926" w14:textId="59DAAA12" w:rsidR="0010434A" w:rsidRPr="00F118EB" w:rsidRDefault="0010434A" w:rsidP="009F65C0">
            <w:pPr>
              <w:snapToGrid w:val="0"/>
              <w:jc w:val="both"/>
              <w:rPr>
                <w:bCs/>
                <w:sz w:val="22"/>
                <w:szCs w:val="22"/>
                <w:lang w:val="en-GB"/>
              </w:rPr>
            </w:pPr>
          </w:p>
        </w:tc>
      </w:tr>
      <w:tr w:rsidR="00493A2E" w:rsidRPr="00F118EB" w14:paraId="5C0A310F" w14:textId="77777777" w:rsidTr="00E24CCA">
        <w:trPr>
          <w:trHeight w:val="530"/>
        </w:trPr>
        <w:tc>
          <w:tcPr>
            <w:tcW w:w="715" w:type="dxa"/>
            <w:vMerge/>
            <w:vAlign w:val="center"/>
          </w:tcPr>
          <w:p w14:paraId="42E687B2" w14:textId="77777777" w:rsidR="00493A2E" w:rsidRPr="00F118EB" w:rsidRDefault="00493A2E" w:rsidP="009F65C0">
            <w:pPr>
              <w:snapToGrid w:val="0"/>
              <w:jc w:val="right"/>
              <w:rPr>
                <w:bCs/>
                <w:sz w:val="22"/>
                <w:szCs w:val="22"/>
                <w:lang w:val="en-GB"/>
              </w:rPr>
            </w:pPr>
          </w:p>
        </w:tc>
        <w:tc>
          <w:tcPr>
            <w:tcW w:w="1259" w:type="dxa"/>
          </w:tcPr>
          <w:p w14:paraId="20F0A297" w14:textId="77777777" w:rsidR="00493A2E" w:rsidRPr="00F118EB" w:rsidRDefault="00493A2E" w:rsidP="009F65C0">
            <w:pPr>
              <w:snapToGrid w:val="0"/>
              <w:jc w:val="center"/>
              <w:rPr>
                <w:bCs/>
                <w:sz w:val="22"/>
                <w:szCs w:val="22"/>
                <w:lang w:val="en-GB"/>
              </w:rPr>
            </w:pPr>
            <w:r w:rsidRPr="00F118EB">
              <w:rPr>
                <w:bCs/>
                <w:sz w:val="22"/>
                <w:szCs w:val="22"/>
                <w:lang w:val="en-GB"/>
              </w:rPr>
              <w:t>Khoản 6</w:t>
            </w:r>
          </w:p>
        </w:tc>
        <w:tc>
          <w:tcPr>
            <w:tcW w:w="4861" w:type="dxa"/>
            <w:vAlign w:val="center"/>
          </w:tcPr>
          <w:p w14:paraId="4A9A360C" w14:textId="77777777" w:rsidR="00493A2E" w:rsidRPr="00F118EB" w:rsidRDefault="00493A2E" w:rsidP="009F65C0">
            <w:pPr>
              <w:snapToGrid w:val="0"/>
              <w:jc w:val="both"/>
              <w:rPr>
                <w:bCs/>
                <w:sz w:val="22"/>
                <w:szCs w:val="22"/>
                <w:lang w:val="en-GB"/>
              </w:rPr>
            </w:pPr>
            <w:r w:rsidRPr="00F118EB">
              <w:rPr>
                <w:bCs/>
                <w:sz w:val="22"/>
                <w:szCs w:val="22"/>
                <w:lang w:val="en-GB"/>
              </w:rPr>
              <w:t>Tỷ lệ tái chế được điều chỉnh theo mục tiêu tái chế quốc gia, yêu cầu bảo vệ môi trường và điều kiện kinh tế - xã hội của đất nước.</w:t>
            </w:r>
          </w:p>
          <w:p w14:paraId="1918573C" w14:textId="77777777" w:rsidR="00493A2E" w:rsidRPr="00F118EB" w:rsidRDefault="00493A2E" w:rsidP="009F65C0">
            <w:pPr>
              <w:snapToGrid w:val="0"/>
              <w:jc w:val="both"/>
              <w:rPr>
                <w:bCs/>
                <w:sz w:val="22"/>
                <w:szCs w:val="22"/>
                <w:lang w:val="en-GB"/>
              </w:rPr>
            </w:pPr>
          </w:p>
          <w:p w14:paraId="0B4857BE" w14:textId="397A3F89" w:rsidR="00E922C2" w:rsidRPr="00F118EB" w:rsidRDefault="00493A2E" w:rsidP="009F65C0">
            <w:pPr>
              <w:snapToGrid w:val="0"/>
              <w:jc w:val="both"/>
              <w:rPr>
                <w:bCs/>
                <w:sz w:val="22"/>
                <w:szCs w:val="22"/>
                <w:lang w:val="en-GB"/>
              </w:rPr>
            </w:pPr>
            <w:r w:rsidRPr="00F118EB">
              <w:rPr>
                <w:bCs/>
                <w:sz w:val="22"/>
                <w:szCs w:val="22"/>
                <w:lang w:val="en-GB"/>
              </w:rPr>
              <w:t>Tỷ lệ tái chế bắt buộc được điều chỉnh theo chu kỳ 03 năm một lần; trường hợp cần thiết, tỷ lệ tái chế bắt buộc có thể được điều chỉnh sớm hơn khi Hội đồng EPR quốc gia kiến nghị và được Bộ trưởng Bộ Tài nguyên và Môi trường chấp thuận.</w:t>
            </w:r>
          </w:p>
          <w:p w14:paraId="21E4340D" w14:textId="77777777" w:rsidR="00E922C2" w:rsidRPr="00F118EB" w:rsidRDefault="00E922C2" w:rsidP="009F65C0">
            <w:pPr>
              <w:snapToGrid w:val="0"/>
              <w:jc w:val="both"/>
              <w:rPr>
                <w:bCs/>
                <w:sz w:val="22"/>
                <w:szCs w:val="22"/>
                <w:lang w:val="en-GB"/>
              </w:rPr>
            </w:pPr>
          </w:p>
          <w:p w14:paraId="55D74959" w14:textId="506387B6" w:rsidR="00493A2E" w:rsidRPr="00F118EB" w:rsidRDefault="00493A2E" w:rsidP="009F65C0">
            <w:pPr>
              <w:snapToGrid w:val="0"/>
              <w:jc w:val="both"/>
              <w:rPr>
                <w:bCs/>
                <w:sz w:val="22"/>
                <w:szCs w:val="22"/>
                <w:lang w:val="en-GB"/>
              </w:rPr>
            </w:pPr>
          </w:p>
        </w:tc>
        <w:tc>
          <w:tcPr>
            <w:tcW w:w="4222" w:type="dxa"/>
          </w:tcPr>
          <w:p w14:paraId="24D8EC2F" w14:textId="77777777" w:rsidR="00611FD2" w:rsidRPr="00F118EB" w:rsidRDefault="000D5176" w:rsidP="004E7611">
            <w:pPr>
              <w:snapToGrid w:val="0"/>
              <w:jc w:val="both"/>
              <w:rPr>
                <w:bCs/>
                <w:sz w:val="22"/>
                <w:szCs w:val="22"/>
                <w:lang w:val="en-GB"/>
              </w:rPr>
            </w:pPr>
            <w:r w:rsidRPr="00F118EB">
              <w:rPr>
                <w:bCs/>
                <w:sz w:val="22"/>
                <w:szCs w:val="22"/>
                <w:lang w:val="en-GB"/>
              </w:rPr>
              <w:t>Cần hạn chế việc điều chỉnh tỷ lệ tái chế bắt buộc dưới 3 năm để doanh nghiệp có thể lên kế hoạch sản xuất kinh doanh trung hạn,</w:t>
            </w:r>
            <w:r w:rsidR="00E922C2" w:rsidRPr="00F118EB">
              <w:rPr>
                <w:bCs/>
                <w:sz w:val="22"/>
                <w:szCs w:val="22"/>
                <w:lang w:val="en-GB"/>
              </w:rPr>
              <w:t xml:space="preserve"> tối thiểu </w:t>
            </w:r>
            <w:r w:rsidR="00611FD2" w:rsidRPr="00F118EB">
              <w:rPr>
                <w:bCs/>
                <w:sz w:val="22"/>
                <w:szCs w:val="22"/>
                <w:lang w:val="en-GB"/>
              </w:rPr>
              <w:t>không dưới 24 tháng và thời hạn công bố tỷ lệ tái chế bắt buộc ít nhất 6 tháng trước ngày bắt đầu áp dụng tỷ lệ tái chế bắt buộc mới</w:t>
            </w:r>
            <w:r w:rsidR="00E922C2" w:rsidRPr="00F118EB">
              <w:rPr>
                <w:bCs/>
                <w:sz w:val="22"/>
                <w:szCs w:val="22"/>
                <w:lang w:val="en-GB"/>
              </w:rPr>
              <w:t>,</w:t>
            </w:r>
            <w:r w:rsidR="00611FD2" w:rsidRPr="00F118EB">
              <w:rPr>
                <w:bCs/>
                <w:sz w:val="22"/>
                <w:szCs w:val="22"/>
                <w:lang w:val="en-GB"/>
              </w:rPr>
              <w:t xml:space="preserve"> để các doanh nghiệp có đủ thời gian lên dự phòng tài chính hoặc kế hoạch tái chế cho doanh nghiệp của mình trong năm tiếp theo và không vượt quá 5% cho mỗi lần điều chỉnh</w:t>
            </w:r>
            <w:r w:rsidRPr="00F118EB">
              <w:rPr>
                <w:bCs/>
                <w:sz w:val="22"/>
                <w:szCs w:val="22"/>
                <w:lang w:val="en-GB"/>
              </w:rPr>
              <w:t>.</w:t>
            </w:r>
          </w:p>
          <w:p w14:paraId="3F25D025" w14:textId="12B09F53" w:rsidR="000D5176" w:rsidRPr="00F118EB" w:rsidRDefault="000D5176" w:rsidP="004E7611">
            <w:pPr>
              <w:snapToGrid w:val="0"/>
              <w:jc w:val="both"/>
              <w:rPr>
                <w:bCs/>
                <w:sz w:val="22"/>
                <w:szCs w:val="22"/>
                <w:lang w:val="en-GB"/>
              </w:rPr>
            </w:pPr>
            <w:r w:rsidRPr="00F118EB">
              <w:rPr>
                <w:bCs/>
                <w:sz w:val="22"/>
                <w:szCs w:val="22"/>
                <w:lang w:val="en-GB"/>
              </w:rPr>
              <w:t xml:space="preserve">Vì đây là vấn đề ảnh hưởng đến sản xuất-kinh doanh của cả nước, và Nghị định là thuộc thẩm quyền của Chính phủ, tỷ lệ tái chế cần được </w:t>
            </w:r>
            <w:r w:rsidRPr="00F118EB">
              <w:rPr>
                <w:i/>
                <w:iCs/>
                <w:sz w:val="22"/>
                <w:szCs w:val="22"/>
                <w:shd w:val="clear" w:color="auto" w:fill="FFFFFF"/>
              </w:rPr>
              <w:t xml:space="preserve"> </w:t>
            </w:r>
            <w:r w:rsidRPr="00F118EB">
              <w:rPr>
                <w:sz w:val="22"/>
                <w:szCs w:val="22"/>
                <w:shd w:val="clear" w:color="auto" w:fill="FFFFFF"/>
              </w:rPr>
              <w:t>Bộ Tài nguyên và Môi trường đề xuất và được Chính phủ chấp thuận</w:t>
            </w:r>
          </w:p>
        </w:tc>
        <w:tc>
          <w:tcPr>
            <w:tcW w:w="3968" w:type="dxa"/>
          </w:tcPr>
          <w:p w14:paraId="6B5DE9DB" w14:textId="4C384043" w:rsidR="00611FD2" w:rsidRPr="00F118EB" w:rsidRDefault="00611FD2" w:rsidP="009F65C0">
            <w:pPr>
              <w:snapToGrid w:val="0"/>
              <w:jc w:val="both"/>
              <w:rPr>
                <w:bCs/>
                <w:sz w:val="22"/>
                <w:szCs w:val="22"/>
                <w:lang w:val="en-GB"/>
              </w:rPr>
            </w:pPr>
            <w:r w:rsidRPr="00F118EB">
              <w:rPr>
                <w:bCs/>
                <w:sz w:val="22"/>
                <w:szCs w:val="22"/>
                <w:lang w:val="en-GB"/>
              </w:rPr>
              <w:t xml:space="preserve">Đề nghị sửa thành: </w:t>
            </w:r>
          </w:p>
          <w:p w14:paraId="28AEFC1A" w14:textId="3A47B44F" w:rsidR="00E24CCA" w:rsidRPr="00F118EB" w:rsidRDefault="00611FD2" w:rsidP="00E922C2">
            <w:pPr>
              <w:snapToGrid w:val="0"/>
              <w:jc w:val="both"/>
              <w:rPr>
                <w:bCs/>
                <w:sz w:val="22"/>
                <w:szCs w:val="22"/>
                <w:lang w:val="en-GB"/>
              </w:rPr>
            </w:pPr>
            <w:r w:rsidRPr="00F118EB">
              <w:rPr>
                <w:sz w:val="22"/>
                <w:szCs w:val="22"/>
                <w:shd w:val="clear" w:color="auto" w:fill="FFFFFF"/>
              </w:rPr>
              <w:t>“</w:t>
            </w:r>
            <w:r w:rsidRPr="00F118EB">
              <w:rPr>
                <w:i/>
                <w:iCs/>
                <w:sz w:val="22"/>
                <w:szCs w:val="22"/>
                <w:shd w:val="clear" w:color="auto" w:fill="FFFFFF"/>
              </w:rPr>
              <w:t xml:space="preserve">Tỷ lệ tái chế bắt buộc được điều chỉnh theo chu kỳ </w:t>
            </w:r>
            <w:r w:rsidR="000D5176" w:rsidRPr="00F118EB">
              <w:rPr>
                <w:i/>
                <w:iCs/>
                <w:sz w:val="22"/>
                <w:szCs w:val="22"/>
                <w:shd w:val="clear" w:color="auto" w:fill="FFFFFF"/>
              </w:rPr>
              <w:t>03 năm</w:t>
            </w:r>
            <w:r w:rsidRPr="00F118EB">
              <w:rPr>
                <w:i/>
                <w:iCs/>
                <w:sz w:val="22"/>
                <w:szCs w:val="22"/>
                <w:shd w:val="clear" w:color="auto" w:fill="FFFFFF"/>
              </w:rPr>
              <w:t xml:space="preserve"> một lần. T</w:t>
            </w:r>
            <w:r w:rsidR="000D5176" w:rsidRPr="00F118EB">
              <w:rPr>
                <w:i/>
                <w:iCs/>
                <w:sz w:val="22"/>
                <w:szCs w:val="22"/>
                <w:shd w:val="clear" w:color="auto" w:fill="FFFFFF"/>
              </w:rPr>
              <w:t>rường hợp đặc biệt, t</w:t>
            </w:r>
            <w:r w:rsidRPr="00F118EB">
              <w:rPr>
                <w:i/>
                <w:iCs/>
                <w:sz w:val="22"/>
                <w:szCs w:val="22"/>
                <w:shd w:val="clear" w:color="auto" w:fill="FFFFFF"/>
              </w:rPr>
              <w:t xml:space="preserve">ỷ lệ tái chế bắt buộc có thể được điều chỉnh sớm hơn khi Bộ Tài nguyên và Môi trường </w:t>
            </w:r>
            <w:r w:rsidR="000D5176" w:rsidRPr="00F118EB">
              <w:rPr>
                <w:i/>
                <w:iCs/>
                <w:sz w:val="22"/>
                <w:szCs w:val="22"/>
                <w:shd w:val="clear" w:color="auto" w:fill="FFFFFF"/>
              </w:rPr>
              <w:t xml:space="preserve">đề xuất và được Chính phủ </w:t>
            </w:r>
            <w:r w:rsidRPr="00F118EB">
              <w:rPr>
                <w:i/>
                <w:iCs/>
                <w:sz w:val="22"/>
                <w:szCs w:val="22"/>
                <w:shd w:val="clear" w:color="auto" w:fill="FFFFFF"/>
              </w:rPr>
              <w:t>chấp thuận</w:t>
            </w:r>
            <w:r w:rsidR="000D5176" w:rsidRPr="00F118EB">
              <w:rPr>
                <w:i/>
                <w:iCs/>
                <w:sz w:val="22"/>
                <w:szCs w:val="22"/>
                <w:shd w:val="clear" w:color="auto" w:fill="FFFFFF"/>
              </w:rPr>
              <w:t>, nhưng không dưới 24 tháng kể từ lần điều chỉnh gần nhất, và chỉ khi có đầy đủ lý do cấp thiết để điều chỉnh sớm</w:t>
            </w:r>
            <w:r w:rsidRPr="00F118EB">
              <w:rPr>
                <w:i/>
                <w:iCs/>
                <w:sz w:val="22"/>
                <w:szCs w:val="22"/>
                <w:shd w:val="clear" w:color="auto" w:fill="FFFFFF"/>
              </w:rPr>
              <w:t>. Tỷ lệ điều chỉnh sẽ được thông báo cho các doanh nghiệp liên quan trước ít nhất 6 tháng và không vượt quá 5% cho mỗi lần điều chỉnh</w:t>
            </w:r>
            <w:r w:rsidRPr="00F118EB">
              <w:rPr>
                <w:sz w:val="22"/>
                <w:szCs w:val="22"/>
                <w:shd w:val="clear" w:color="auto" w:fill="FFFFFF"/>
              </w:rPr>
              <w:t>.”</w:t>
            </w:r>
          </w:p>
        </w:tc>
      </w:tr>
      <w:tr w:rsidR="00DB6599" w:rsidRPr="00F118EB" w14:paraId="3EBFB126" w14:textId="77777777" w:rsidTr="00E24CCA">
        <w:trPr>
          <w:trHeight w:val="530"/>
        </w:trPr>
        <w:tc>
          <w:tcPr>
            <w:tcW w:w="715" w:type="dxa"/>
            <w:vMerge w:val="restart"/>
            <w:vAlign w:val="center"/>
          </w:tcPr>
          <w:p w14:paraId="129F61CC" w14:textId="77777777" w:rsidR="00DB6599" w:rsidRPr="00F118EB" w:rsidRDefault="00DB6599" w:rsidP="00E52C73">
            <w:pPr>
              <w:snapToGrid w:val="0"/>
              <w:jc w:val="center"/>
              <w:rPr>
                <w:bCs/>
                <w:sz w:val="22"/>
                <w:szCs w:val="22"/>
                <w:lang w:val="en-GB"/>
              </w:rPr>
            </w:pPr>
            <w:r w:rsidRPr="00F118EB">
              <w:rPr>
                <w:bCs/>
                <w:sz w:val="22"/>
                <w:szCs w:val="22"/>
                <w:lang w:val="en-GB"/>
              </w:rPr>
              <w:t>2</w:t>
            </w:r>
          </w:p>
          <w:p w14:paraId="07777BEC" w14:textId="0DD9B1AD" w:rsidR="00DB6599" w:rsidRPr="00F118EB" w:rsidRDefault="00DB6599" w:rsidP="009F65C0">
            <w:pPr>
              <w:snapToGrid w:val="0"/>
              <w:jc w:val="right"/>
              <w:rPr>
                <w:bCs/>
                <w:sz w:val="22"/>
                <w:szCs w:val="22"/>
                <w:lang w:val="en-GB"/>
              </w:rPr>
            </w:pPr>
          </w:p>
          <w:p w14:paraId="73820260" w14:textId="5DA2167B" w:rsidR="00DB6599" w:rsidRPr="00F118EB" w:rsidRDefault="00DB6599" w:rsidP="009F65C0">
            <w:pPr>
              <w:snapToGrid w:val="0"/>
              <w:jc w:val="right"/>
              <w:rPr>
                <w:bCs/>
                <w:sz w:val="22"/>
                <w:szCs w:val="22"/>
                <w:lang w:val="en-GB"/>
              </w:rPr>
            </w:pPr>
          </w:p>
          <w:p w14:paraId="2E456565" w14:textId="374F9F12" w:rsidR="00DB6599" w:rsidRPr="00F118EB" w:rsidRDefault="00DB6599" w:rsidP="009F65C0">
            <w:pPr>
              <w:snapToGrid w:val="0"/>
              <w:jc w:val="right"/>
              <w:rPr>
                <w:bCs/>
                <w:sz w:val="22"/>
                <w:szCs w:val="22"/>
                <w:lang w:val="en-GB"/>
              </w:rPr>
            </w:pPr>
          </w:p>
          <w:p w14:paraId="0496450B" w14:textId="13E35FC3" w:rsidR="00DB6599" w:rsidRPr="00F118EB" w:rsidRDefault="00DB6599" w:rsidP="009F65C0">
            <w:pPr>
              <w:snapToGrid w:val="0"/>
              <w:jc w:val="right"/>
              <w:rPr>
                <w:bCs/>
                <w:sz w:val="22"/>
                <w:szCs w:val="22"/>
                <w:lang w:val="en-GB"/>
              </w:rPr>
            </w:pPr>
          </w:p>
          <w:p w14:paraId="14DD6820" w14:textId="0CF05484" w:rsidR="00DB6599" w:rsidRPr="00F118EB" w:rsidRDefault="00DB6599" w:rsidP="009F65C0">
            <w:pPr>
              <w:snapToGrid w:val="0"/>
              <w:jc w:val="right"/>
              <w:rPr>
                <w:bCs/>
                <w:sz w:val="22"/>
                <w:szCs w:val="22"/>
                <w:lang w:val="en-GB"/>
              </w:rPr>
            </w:pPr>
          </w:p>
          <w:p w14:paraId="7AE70AF7" w14:textId="77777777" w:rsidR="00DB6599" w:rsidRPr="00F118EB" w:rsidRDefault="00DB6599" w:rsidP="009F65C0">
            <w:pPr>
              <w:snapToGrid w:val="0"/>
              <w:jc w:val="right"/>
              <w:rPr>
                <w:bCs/>
                <w:sz w:val="22"/>
                <w:szCs w:val="22"/>
                <w:lang w:val="en-GB"/>
              </w:rPr>
            </w:pPr>
          </w:p>
          <w:p w14:paraId="0E08EE75" w14:textId="0ED983F5" w:rsidR="00DB6599" w:rsidRPr="00F118EB" w:rsidRDefault="00DB6599" w:rsidP="0004457F">
            <w:pPr>
              <w:snapToGrid w:val="0"/>
              <w:jc w:val="right"/>
              <w:rPr>
                <w:bCs/>
                <w:sz w:val="22"/>
                <w:szCs w:val="22"/>
                <w:lang w:val="en-GB"/>
              </w:rPr>
            </w:pPr>
          </w:p>
        </w:tc>
        <w:tc>
          <w:tcPr>
            <w:tcW w:w="1259" w:type="dxa"/>
            <w:vAlign w:val="center"/>
          </w:tcPr>
          <w:p w14:paraId="07B0C876" w14:textId="77777777" w:rsidR="00DB6599" w:rsidRPr="00F118EB" w:rsidRDefault="00DB6599" w:rsidP="009F65C0">
            <w:pPr>
              <w:snapToGrid w:val="0"/>
              <w:jc w:val="center"/>
              <w:rPr>
                <w:b/>
                <w:sz w:val="22"/>
                <w:szCs w:val="22"/>
                <w:lang w:val="en-GB"/>
              </w:rPr>
            </w:pPr>
            <w:r w:rsidRPr="00F118EB">
              <w:rPr>
                <w:b/>
                <w:sz w:val="22"/>
                <w:szCs w:val="22"/>
                <w:lang w:val="en-GB"/>
              </w:rPr>
              <w:t>Điều 89</w:t>
            </w:r>
          </w:p>
        </w:tc>
        <w:tc>
          <w:tcPr>
            <w:tcW w:w="13051" w:type="dxa"/>
            <w:gridSpan w:val="3"/>
            <w:vAlign w:val="center"/>
          </w:tcPr>
          <w:p w14:paraId="2407150F" w14:textId="77777777" w:rsidR="00DB6599" w:rsidRPr="00F118EB" w:rsidRDefault="00DB6599" w:rsidP="009F65C0">
            <w:pPr>
              <w:snapToGrid w:val="0"/>
              <w:jc w:val="both"/>
              <w:rPr>
                <w:bCs/>
                <w:sz w:val="22"/>
                <w:szCs w:val="22"/>
                <w:lang w:val="en-GB"/>
              </w:rPr>
            </w:pPr>
            <w:r w:rsidRPr="00F118EB">
              <w:rPr>
                <w:b/>
                <w:sz w:val="22"/>
                <w:szCs w:val="22"/>
                <w:lang w:val="en-GB"/>
              </w:rPr>
              <w:t>Mức đóng góp tài chính vào Quỹ Bảo vệ môi trường Việt Nam</w:t>
            </w:r>
          </w:p>
        </w:tc>
      </w:tr>
      <w:tr w:rsidR="00DB6599" w:rsidRPr="00F118EB" w14:paraId="4446C8CF" w14:textId="77777777" w:rsidTr="00E24CCA">
        <w:tc>
          <w:tcPr>
            <w:tcW w:w="715" w:type="dxa"/>
            <w:vMerge/>
          </w:tcPr>
          <w:p w14:paraId="088DFC51" w14:textId="77777777" w:rsidR="00DB6599" w:rsidRPr="00F118EB" w:rsidRDefault="00DB6599" w:rsidP="009F65C0">
            <w:pPr>
              <w:snapToGrid w:val="0"/>
              <w:jc w:val="right"/>
              <w:rPr>
                <w:bCs/>
                <w:sz w:val="22"/>
                <w:szCs w:val="22"/>
                <w:lang w:val="en-GB"/>
              </w:rPr>
            </w:pPr>
          </w:p>
        </w:tc>
        <w:tc>
          <w:tcPr>
            <w:tcW w:w="1259" w:type="dxa"/>
          </w:tcPr>
          <w:p w14:paraId="4A15764F" w14:textId="77777777" w:rsidR="00DB6599" w:rsidRPr="00F118EB" w:rsidRDefault="00DB6599" w:rsidP="009F65C0">
            <w:pPr>
              <w:snapToGrid w:val="0"/>
              <w:jc w:val="center"/>
              <w:rPr>
                <w:bCs/>
                <w:sz w:val="22"/>
                <w:szCs w:val="22"/>
                <w:lang w:val="en-GB"/>
              </w:rPr>
            </w:pPr>
            <w:r w:rsidRPr="00F118EB">
              <w:rPr>
                <w:bCs/>
                <w:sz w:val="22"/>
                <w:szCs w:val="22"/>
                <w:lang w:val="en-GB"/>
              </w:rPr>
              <w:t>Khoản 1</w:t>
            </w:r>
          </w:p>
        </w:tc>
        <w:tc>
          <w:tcPr>
            <w:tcW w:w="4861" w:type="dxa"/>
          </w:tcPr>
          <w:p w14:paraId="2A7CD6AF" w14:textId="5E7C4DE9" w:rsidR="00DB6599" w:rsidRPr="00F118EB" w:rsidRDefault="00DB6599" w:rsidP="004409DC">
            <w:pPr>
              <w:widowControl w:val="0"/>
              <w:rPr>
                <w:sz w:val="22"/>
                <w:szCs w:val="22"/>
                <w:shd w:val="clear" w:color="auto" w:fill="FFFFFF"/>
                <w:lang w:val="vi-VN"/>
              </w:rPr>
            </w:pPr>
            <w:r w:rsidRPr="00F118EB">
              <w:rPr>
                <w:sz w:val="22"/>
                <w:szCs w:val="22"/>
                <w:shd w:val="clear" w:color="auto" w:fill="FFFFFF"/>
                <w:lang w:val="vi-VN"/>
              </w:rPr>
              <w:t>Đóng góp tài chính vào Quỹ Bảo vệ môi trường Việt Nam của từng loại sản phẩm, bao bì (F) được xác định theo công thức sau đây:</w:t>
            </w:r>
          </w:p>
          <w:p w14:paraId="61C5C4E6" w14:textId="77777777" w:rsidR="00DB6599" w:rsidRPr="00F118EB" w:rsidRDefault="00DB6599" w:rsidP="004409DC">
            <w:pPr>
              <w:widowControl w:val="0"/>
              <w:rPr>
                <w:sz w:val="22"/>
                <w:szCs w:val="22"/>
                <w:shd w:val="clear" w:color="auto" w:fill="FFFFFF"/>
                <w:lang w:val="vi-VN"/>
              </w:rPr>
            </w:pPr>
          </w:p>
          <w:tbl>
            <w:tblPr>
              <w:tblW w:w="4570" w:type="dxa"/>
              <w:tblCellSpacing w:w="0" w:type="dxa"/>
              <w:tblLayout w:type="fixed"/>
              <w:tblCellMar>
                <w:left w:w="0" w:type="dxa"/>
                <w:right w:w="0" w:type="dxa"/>
              </w:tblCellMar>
              <w:tblLook w:val="04A0" w:firstRow="1" w:lastRow="0" w:firstColumn="1" w:lastColumn="0" w:noHBand="0" w:noVBand="1"/>
            </w:tblPr>
            <w:tblGrid>
              <w:gridCol w:w="724"/>
              <w:gridCol w:w="180"/>
              <w:gridCol w:w="550"/>
              <w:gridCol w:w="310"/>
              <w:gridCol w:w="580"/>
              <w:gridCol w:w="40"/>
              <w:gridCol w:w="246"/>
              <w:gridCol w:w="771"/>
              <w:gridCol w:w="347"/>
              <w:gridCol w:w="822"/>
            </w:tblGrid>
            <w:tr w:rsidR="00DB6599" w:rsidRPr="00F118EB" w14:paraId="5F242386" w14:textId="77777777" w:rsidTr="00E24CCA">
              <w:trPr>
                <w:trHeight w:val="68"/>
                <w:tblCellSpacing w:w="0" w:type="dxa"/>
              </w:trPr>
              <w:tc>
                <w:tcPr>
                  <w:tcW w:w="791" w:type="pct"/>
                  <w:shd w:val="clear" w:color="auto" w:fill="FFFFFF"/>
                  <w:tcMar>
                    <w:top w:w="0" w:type="dxa"/>
                    <w:left w:w="10" w:type="dxa"/>
                    <w:bottom w:w="0" w:type="dxa"/>
                    <w:right w:w="10" w:type="dxa"/>
                  </w:tcMar>
                  <w:vAlign w:val="center"/>
                  <w:hideMark/>
                </w:tcPr>
                <w:p w14:paraId="1244D1F1" w14:textId="77777777" w:rsidR="00DB6599" w:rsidRPr="00F118EB" w:rsidRDefault="00DB6599" w:rsidP="000D5176">
                  <w:pPr>
                    <w:framePr w:hSpace="180" w:wrap="around" w:vAnchor="text" w:hAnchor="text" w:xAlign="right" w:y="1"/>
                    <w:suppressOverlap/>
                    <w:jc w:val="center"/>
                    <w:rPr>
                      <w:sz w:val="22"/>
                      <w:szCs w:val="22"/>
                      <w:lang w:val="vi-VN"/>
                    </w:rPr>
                  </w:pPr>
                  <w:r w:rsidRPr="00F118EB">
                    <w:rPr>
                      <w:sz w:val="22"/>
                      <w:szCs w:val="22"/>
                      <w:lang w:val="vi-VN"/>
                    </w:rPr>
                    <w:t>Số tiền đóng góp (</w:t>
                  </w:r>
                  <w:r w:rsidRPr="00F118EB">
                    <w:rPr>
                      <w:b/>
                      <w:sz w:val="22"/>
                      <w:szCs w:val="22"/>
                      <w:lang w:val="vi-VN"/>
                    </w:rPr>
                    <w:t>F</w:t>
                  </w:r>
                  <w:r w:rsidRPr="00F118EB">
                    <w:rPr>
                      <w:sz w:val="22"/>
                      <w:szCs w:val="22"/>
                      <w:lang w:val="vi-VN"/>
                    </w:rPr>
                    <w:t>)</w:t>
                  </w:r>
                </w:p>
              </w:tc>
              <w:tc>
                <w:tcPr>
                  <w:tcW w:w="197" w:type="pct"/>
                  <w:shd w:val="clear" w:color="auto" w:fill="FFFFFF"/>
                  <w:tcMar>
                    <w:top w:w="0" w:type="dxa"/>
                    <w:left w:w="10" w:type="dxa"/>
                    <w:bottom w:w="0" w:type="dxa"/>
                    <w:right w:w="10" w:type="dxa"/>
                  </w:tcMar>
                  <w:vAlign w:val="center"/>
                  <w:hideMark/>
                </w:tcPr>
                <w:p w14:paraId="7536C045" w14:textId="77777777" w:rsidR="00DB6599" w:rsidRPr="00F118EB" w:rsidRDefault="00DB6599" w:rsidP="000D5176">
                  <w:pPr>
                    <w:framePr w:hSpace="180" w:wrap="around" w:vAnchor="text" w:hAnchor="text" w:xAlign="right" w:y="1"/>
                    <w:suppressOverlap/>
                    <w:jc w:val="center"/>
                    <w:rPr>
                      <w:sz w:val="22"/>
                      <w:szCs w:val="22"/>
                    </w:rPr>
                  </w:pPr>
                  <w:r w:rsidRPr="00F118EB">
                    <w:rPr>
                      <w:sz w:val="22"/>
                      <w:szCs w:val="22"/>
                      <w:lang w:val="vi-VN"/>
                    </w:rPr>
                    <w:t>=</w:t>
                  </w:r>
                </w:p>
              </w:tc>
              <w:tc>
                <w:tcPr>
                  <w:tcW w:w="602" w:type="pct"/>
                  <w:shd w:val="clear" w:color="auto" w:fill="FFFFFF"/>
                  <w:tcMar>
                    <w:top w:w="0" w:type="dxa"/>
                    <w:left w:w="10" w:type="dxa"/>
                    <w:bottom w:w="0" w:type="dxa"/>
                    <w:right w:w="10" w:type="dxa"/>
                  </w:tcMar>
                  <w:vAlign w:val="center"/>
                  <w:hideMark/>
                </w:tcPr>
                <w:p w14:paraId="507B2056" w14:textId="77777777" w:rsidR="00DB6599" w:rsidRPr="00F118EB" w:rsidRDefault="00DB6599" w:rsidP="000D5176">
                  <w:pPr>
                    <w:framePr w:hSpace="180" w:wrap="around" w:vAnchor="text" w:hAnchor="text" w:xAlign="right" w:y="1"/>
                    <w:suppressOverlap/>
                    <w:jc w:val="center"/>
                    <w:rPr>
                      <w:sz w:val="22"/>
                      <w:szCs w:val="22"/>
                      <w:lang w:val="pt-BR"/>
                    </w:rPr>
                  </w:pPr>
                  <w:r w:rsidRPr="00F118EB">
                    <w:rPr>
                      <w:sz w:val="22"/>
                      <w:szCs w:val="22"/>
                      <w:lang w:val="pt-BR"/>
                    </w:rPr>
                    <w:t>Tỷ lệ tái chế</w:t>
                  </w:r>
                  <w:r w:rsidRPr="00F118EB">
                    <w:rPr>
                      <w:sz w:val="22"/>
                      <w:szCs w:val="22"/>
                      <w:lang w:val="vi-VN"/>
                    </w:rPr>
                    <w:t xml:space="preserve"> (</w:t>
                  </w:r>
                  <w:r w:rsidRPr="00F118EB">
                    <w:rPr>
                      <w:b/>
                      <w:sz w:val="22"/>
                      <w:szCs w:val="22"/>
                      <w:lang w:val="pt-BR"/>
                    </w:rPr>
                    <w:t>R</w:t>
                  </w:r>
                  <w:r w:rsidRPr="00F118EB">
                    <w:rPr>
                      <w:sz w:val="22"/>
                      <w:szCs w:val="22"/>
                      <w:lang w:val="vi-VN"/>
                    </w:rPr>
                    <w:t>)</w:t>
                  </w:r>
                </w:p>
              </w:tc>
              <w:tc>
                <w:tcPr>
                  <w:tcW w:w="339" w:type="pct"/>
                  <w:shd w:val="clear" w:color="auto" w:fill="FFFFFF"/>
                  <w:tcMar>
                    <w:top w:w="0" w:type="dxa"/>
                    <w:left w:w="10" w:type="dxa"/>
                    <w:bottom w:w="0" w:type="dxa"/>
                    <w:right w:w="10" w:type="dxa"/>
                  </w:tcMar>
                  <w:vAlign w:val="center"/>
                  <w:hideMark/>
                </w:tcPr>
                <w:p w14:paraId="1E945418" w14:textId="58F84F2E" w:rsidR="00DB6599" w:rsidRPr="00F118EB" w:rsidRDefault="00DB6599" w:rsidP="000D5176">
                  <w:pPr>
                    <w:framePr w:hSpace="180" w:wrap="around" w:vAnchor="text" w:hAnchor="text" w:xAlign="right" w:y="1"/>
                    <w:suppressOverlap/>
                    <w:jc w:val="center"/>
                    <w:rPr>
                      <w:sz w:val="22"/>
                      <w:szCs w:val="22"/>
                    </w:rPr>
                  </w:pPr>
                  <w:r w:rsidRPr="00F118EB">
                    <w:rPr>
                      <w:sz w:val="22"/>
                      <w:szCs w:val="22"/>
                    </w:rPr>
                    <w:t>x</w:t>
                  </w:r>
                </w:p>
              </w:tc>
              <w:tc>
                <w:tcPr>
                  <w:tcW w:w="635" w:type="pct"/>
                  <w:shd w:val="clear" w:color="auto" w:fill="FFFFFF"/>
                  <w:tcMar>
                    <w:top w:w="0" w:type="dxa"/>
                    <w:left w:w="10" w:type="dxa"/>
                    <w:bottom w:w="0" w:type="dxa"/>
                    <w:right w:w="10" w:type="dxa"/>
                  </w:tcMar>
                  <w:vAlign w:val="center"/>
                  <w:hideMark/>
                </w:tcPr>
                <w:p w14:paraId="3B6ACFD2" w14:textId="77777777" w:rsidR="00DB6599" w:rsidRPr="00F118EB" w:rsidRDefault="00DB6599" w:rsidP="000D5176">
                  <w:pPr>
                    <w:framePr w:hSpace="180" w:wrap="around" w:vAnchor="text" w:hAnchor="text" w:xAlign="right" w:y="1"/>
                    <w:suppressOverlap/>
                    <w:jc w:val="center"/>
                    <w:rPr>
                      <w:sz w:val="22"/>
                      <w:szCs w:val="22"/>
                    </w:rPr>
                  </w:pPr>
                  <w:r w:rsidRPr="00F118EB">
                    <w:rPr>
                      <w:sz w:val="22"/>
                      <w:szCs w:val="22"/>
                    </w:rPr>
                    <w:t>L</w:t>
                  </w:r>
                  <w:r w:rsidRPr="00F118EB">
                    <w:rPr>
                      <w:sz w:val="22"/>
                      <w:szCs w:val="22"/>
                      <w:lang w:val="vi-VN"/>
                    </w:rPr>
                    <w:t xml:space="preserve">ượng </w:t>
                  </w:r>
                  <w:r w:rsidRPr="00F118EB">
                    <w:rPr>
                      <w:sz w:val="22"/>
                      <w:szCs w:val="22"/>
                    </w:rPr>
                    <w:t>sản phẩm, bao bì (</w:t>
                  </w:r>
                  <w:r w:rsidRPr="00F118EB">
                    <w:rPr>
                      <w:b/>
                      <w:sz w:val="22"/>
                      <w:szCs w:val="22"/>
                    </w:rPr>
                    <w:t>V</w:t>
                  </w:r>
                  <w:r w:rsidRPr="00F118EB">
                    <w:rPr>
                      <w:sz w:val="22"/>
                      <w:szCs w:val="22"/>
                    </w:rPr>
                    <w:t>)</w:t>
                  </w:r>
                </w:p>
              </w:tc>
              <w:tc>
                <w:tcPr>
                  <w:tcW w:w="44" w:type="pct"/>
                  <w:shd w:val="clear" w:color="auto" w:fill="FFFFFF"/>
                  <w:tcMar>
                    <w:top w:w="0" w:type="dxa"/>
                    <w:left w:w="10" w:type="dxa"/>
                    <w:bottom w:w="0" w:type="dxa"/>
                    <w:right w:w="10" w:type="dxa"/>
                  </w:tcMar>
                  <w:vAlign w:val="center"/>
                  <w:hideMark/>
                </w:tcPr>
                <w:p w14:paraId="0BB3807C" w14:textId="77777777" w:rsidR="00DB6599" w:rsidRPr="00F118EB" w:rsidRDefault="00DB6599" w:rsidP="000D5176">
                  <w:pPr>
                    <w:framePr w:hSpace="180" w:wrap="around" w:vAnchor="text" w:hAnchor="text" w:xAlign="right" w:y="1"/>
                    <w:suppressOverlap/>
                    <w:jc w:val="center"/>
                    <w:rPr>
                      <w:sz w:val="22"/>
                      <w:szCs w:val="22"/>
                    </w:rPr>
                  </w:pPr>
                </w:p>
              </w:tc>
              <w:tc>
                <w:tcPr>
                  <w:tcW w:w="269" w:type="pct"/>
                  <w:shd w:val="clear" w:color="auto" w:fill="FFFFFF"/>
                  <w:tcMar>
                    <w:top w:w="0" w:type="dxa"/>
                    <w:left w:w="10" w:type="dxa"/>
                    <w:bottom w:w="0" w:type="dxa"/>
                    <w:right w:w="10" w:type="dxa"/>
                  </w:tcMar>
                  <w:vAlign w:val="center"/>
                  <w:hideMark/>
                </w:tcPr>
                <w:p w14:paraId="0054DCAF" w14:textId="77777777" w:rsidR="00DB6599" w:rsidRPr="00F118EB" w:rsidRDefault="00DB6599" w:rsidP="000D5176">
                  <w:pPr>
                    <w:framePr w:hSpace="180" w:wrap="around" w:vAnchor="text" w:hAnchor="text" w:xAlign="right" w:y="1"/>
                    <w:suppressOverlap/>
                    <w:jc w:val="center"/>
                    <w:rPr>
                      <w:sz w:val="22"/>
                      <w:szCs w:val="22"/>
                    </w:rPr>
                  </w:pPr>
                  <w:r w:rsidRPr="00F118EB">
                    <w:rPr>
                      <w:sz w:val="22"/>
                      <w:szCs w:val="22"/>
                      <w:lang w:val="vi-VN"/>
                    </w:rPr>
                    <w:t>x</w:t>
                  </w:r>
                </w:p>
              </w:tc>
              <w:tc>
                <w:tcPr>
                  <w:tcW w:w="844" w:type="pct"/>
                  <w:shd w:val="clear" w:color="auto" w:fill="FFFFFF"/>
                  <w:tcMar>
                    <w:top w:w="0" w:type="dxa"/>
                    <w:left w:w="10" w:type="dxa"/>
                    <w:bottom w:w="0" w:type="dxa"/>
                    <w:right w:w="10" w:type="dxa"/>
                  </w:tcMar>
                  <w:vAlign w:val="center"/>
                  <w:hideMark/>
                </w:tcPr>
                <w:p w14:paraId="52A2CB90" w14:textId="77777777" w:rsidR="00DB6599" w:rsidRPr="00F118EB" w:rsidRDefault="00DB6599" w:rsidP="000D5176">
                  <w:pPr>
                    <w:framePr w:hSpace="180" w:wrap="around" w:vAnchor="text" w:hAnchor="text" w:xAlign="right" w:y="1"/>
                    <w:suppressOverlap/>
                    <w:jc w:val="center"/>
                    <w:rPr>
                      <w:sz w:val="22"/>
                      <w:szCs w:val="22"/>
                    </w:rPr>
                  </w:pPr>
                  <w:r w:rsidRPr="00F118EB">
                    <w:rPr>
                      <w:sz w:val="22"/>
                      <w:szCs w:val="22"/>
                    </w:rPr>
                    <w:t xml:space="preserve">Định mức chi phí tái chế sản phẩm, </w:t>
                  </w:r>
                  <w:r w:rsidRPr="00F118EB">
                    <w:rPr>
                      <w:sz w:val="22"/>
                      <w:szCs w:val="22"/>
                    </w:rPr>
                    <w:lastRenderedPageBreak/>
                    <w:t>bao bì (</w:t>
                  </w:r>
                  <w:r w:rsidRPr="00F118EB">
                    <w:rPr>
                      <w:b/>
                      <w:sz w:val="22"/>
                      <w:szCs w:val="22"/>
                    </w:rPr>
                    <w:t>Fs</w:t>
                  </w:r>
                  <w:r w:rsidRPr="00F118EB">
                    <w:rPr>
                      <w:sz w:val="22"/>
                      <w:szCs w:val="22"/>
                    </w:rPr>
                    <w:t xml:space="preserve">) </w:t>
                  </w:r>
                </w:p>
              </w:tc>
              <w:tc>
                <w:tcPr>
                  <w:tcW w:w="380" w:type="pct"/>
                  <w:shd w:val="clear" w:color="auto" w:fill="FFFFFF"/>
                </w:tcPr>
                <w:p w14:paraId="7F604DA8" w14:textId="0DBF1C96" w:rsidR="00DB6599" w:rsidRPr="00F118EB" w:rsidRDefault="00DB6599" w:rsidP="000D5176">
                  <w:pPr>
                    <w:framePr w:hSpace="180" w:wrap="around" w:vAnchor="text" w:hAnchor="text" w:xAlign="right" w:y="1"/>
                    <w:suppressOverlap/>
                    <w:jc w:val="center"/>
                    <w:rPr>
                      <w:b/>
                      <w:sz w:val="22"/>
                      <w:szCs w:val="22"/>
                    </w:rPr>
                  </w:pPr>
                </w:p>
                <w:p w14:paraId="77B84E20" w14:textId="77777777" w:rsidR="00DB6599" w:rsidRPr="00F118EB" w:rsidRDefault="00DB6599" w:rsidP="000D5176">
                  <w:pPr>
                    <w:framePr w:hSpace="180" w:wrap="around" w:vAnchor="text" w:hAnchor="text" w:xAlign="right" w:y="1"/>
                    <w:suppressOverlap/>
                    <w:jc w:val="center"/>
                    <w:rPr>
                      <w:b/>
                      <w:sz w:val="22"/>
                      <w:szCs w:val="22"/>
                    </w:rPr>
                  </w:pPr>
                </w:p>
                <w:p w14:paraId="6540B4D9" w14:textId="77777777" w:rsidR="001E6F0E" w:rsidRPr="00F118EB" w:rsidRDefault="001E6F0E" w:rsidP="000D5176">
                  <w:pPr>
                    <w:framePr w:hSpace="180" w:wrap="around" w:vAnchor="text" w:hAnchor="text" w:xAlign="right" w:y="1"/>
                    <w:suppressOverlap/>
                    <w:jc w:val="center"/>
                    <w:rPr>
                      <w:b/>
                      <w:sz w:val="22"/>
                      <w:szCs w:val="22"/>
                    </w:rPr>
                  </w:pPr>
                </w:p>
                <w:p w14:paraId="4A6830AD" w14:textId="6874D5F3" w:rsidR="00DB6599" w:rsidRPr="00F118EB" w:rsidDel="0040606A" w:rsidRDefault="00DB6599" w:rsidP="000D5176">
                  <w:pPr>
                    <w:framePr w:hSpace="180" w:wrap="around" w:vAnchor="text" w:hAnchor="text" w:xAlign="right" w:y="1"/>
                    <w:suppressOverlap/>
                    <w:jc w:val="center"/>
                    <w:rPr>
                      <w:b/>
                      <w:sz w:val="22"/>
                      <w:szCs w:val="22"/>
                    </w:rPr>
                  </w:pPr>
                  <w:r w:rsidRPr="00F118EB">
                    <w:rPr>
                      <w:b/>
                      <w:sz w:val="22"/>
                      <w:szCs w:val="22"/>
                    </w:rPr>
                    <w:t>+</w:t>
                  </w:r>
                </w:p>
              </w:tc>
              <w:tc>
                <w:tcPr>
                  <w:tcW w:w="900" w:type="pct"/>
                  <w:shd w:val="clear" w:color="auto" w:fill="FFFFFF"/>
                </w:tcPr>
                <w:p w14:paraId="4CA23478" w14:textId="77777777" w:rsidR="001E6F0E" w:rsidRPr="00F118EB" w:rsidRDefault="001E6F0E" w:rsidP="000D5176">
                  <w:pPr>
                    <w:framePr w:hSpace="180" w:wrap="around" w:vAnchor="text" w:hAnchor="text" w:xAlign="right" w:y="1"/>
                    <w:suppressOverlap/>
                    <w:jc w:val="center"/>
                    <w:rPr>
                      <w:sz w:val="22"/>
                      <w:szCs w:val="22"/>
                    </w:rPr>
                  </w:pPr>
                </w:p>
                <w:p w14:paraId="1A202B26" w14:textId="7E66E669" w:rsidR="00DB6599" w:rsidRPr="00F118EB" w:rsidDel="0040606A" w:rsidRDefault="00DB6599" w:rsidP="000D5176">
                  <w:pPr>
                    <w:framePr w:hSpace="180" w:wrap="around" w:vAnchor="text" w:hAnchor="text" w:xAlign="right" w:y="1"/>
                    <w:suppressOverlap/>
                    <w:jc w:val="center"/>
                    <w:rPr>
                      <w:sz w:val="22"/>
                      <w:szCs w:val="22"/>
                    </w:rPr>
                  </w:pPr>
                  <w:r w:rsidRPr="00F118EB">
                    <w:rPr>
                      <w:sz w:val="22"/>
                      <w:szCs w:val="22"/>
                    </w:rPr>
                    <w:t>Chi phí              quản lý, tổ chức tái chế (</w:t>
                  </w:r>
                  <w:r w:rsidRPr="00F118EB">
                    <w:rPr>
                      <w:b/>
                      <w:sz w:val="22"/>
                      <w:szCs w:val="22"/>
                    </w:rPr>
                    <w:t>Fm</w:t>
                  </w:r>
                  <w:r w:rsidRPr="00F118EB">
                    <w:rPr>
                      <w:sz w:val="22"/>
                      <w:szCs w:val="22"/>
                    </w:rPr>
                    <w:t>)</w:t>
                  </w:r>
                </w:p>
              </w:tc>
            </w:tr>
          </w:tbl>
          <w:p w14:paraId="59E3E5B0" w14:textId="77777777" w:rsidR="00DB6599" w:rsidRPr="00F118EB" w:rsidRDefault="00DB6599" w:rsidP="00156E43">
            <w:pPr>
              <w:spacing w:before="120"/>
              <w:jc w:val="both"/>
              <w:rPr>
                <w:bCs/>
                <w:sz w:val="22"/>
                <w:szCs w:val="22"/>
                <w:shd w:val="clear" w:color="auto" w:fill="FFFFFF"/>
              </w:rPr>
            </w:pPr>
            <w:r w:rsidRPr="00F118EB">
              <w:rPr>
                <w:bCs/>
                <w:sz w:val="22"/>
                <w:szCs w:val="22"/>
                <w:shd w:val="clear" w:color="auto" w:fill="FFFFFF"/>
              </w:rPr>
              <w:t>Bộ Tài nguyên và Môi trường quy định chi tiết việc xác định định mức chi phí tái chế (Fs) và chi phí quản lý, tổ chức tái chế (Fm) của từng loại sản phẩm</w:t>
            </w:r>
          </w:p>
          <w:p w14:paraId="34688818" w14:textId="55016370" w:rsidR="00DB6599" w:rsidRPr="00F118EB" w:rsidRDefault="00DB6599" w:rsidP="009F65C0">
            <w:pPr>
              <w:spacing w:before="120"/>
              <w:jc w:val="both"/>
              <w:rPr>
                <w:iCs/>
                <w:sz w:val="22"/>
                <w:szCs w:val="22"/>
              </w:rPr>
            </w:pPr>
          </w:p>
        </w:tc>
        <w:tc>
          <w:tcPr>
            <w:tcW w:w="4222" w:type="dxa"/>
          </w:tcPr>
          <w:p w14:paraId="05560763" w14:textId="63430475" w:rsidR="0004457F" w:rsidRPr="00F118EB" w:rsidRDefault="0010434A" w:rsidP="009D1F59">
            <w:pPr>
              <w:snapToGrid w:val="0"/>
              <w:jc w:val="both"/>
              <w:rPr>
                <w:sz w:val="22"/>
                <w:szCs w:val="22"/>
              </w:rPr>
            </w:pPr>
            <w:r w:rsidRPr="00F118EB">
              <w:rPr>
                <w:sz w:val="22"/>
                <w:szCs w:val="22"/>
              </w:rPr>
              <w:lastRenderedPageBreak/>
              <w:t xml:space="preserve">Cần phải gọi là </w:t>
            </w:r>
            <w:r w:rsidR="0004457F" w:rsidRPr="00F118EB">
              <w:rPr>
                <w:sz w:val="22"/>
                <w:szCs w:val="22"/>
              </w:rPr>
              <w:t>“</w:t>
            </w:r>
            <w:r w:rsidRPr="00F118EB">
              <w:rPr>
                <w:sz w:val="22"/>
                <w:szCs w:val="22"/>
              </w:rPr>
              <w:t xml:space="preserve">Phí </w:t>
            </w:r>
            <w:r w:rsidR="0004457F" w:rsidRPr="00F118EB">
              <w:rPr>
                <w:sz w:val="22"/>
                <w:szCs w:val="22"/>
              </w:rPr>
              <w:t>tái chế”</w:t>
            </w:r>
            <w:r w:rsidRPr="00F118EB">
              <w:rPr>
                <w:sz w:val="22"/>
                <w:szCs w:val="22"/>
              </w:rPr>
              <w:t xml:space="preserve"> thay cho </w:t>
            </w:r>
            <w:r w:rsidR="0004457F" w:rsidRPr="00F118EB">
              <w:rPr>
                <w:sz w:val="22"/>
                <w:szCs w:val="22"/>
              </w:rPr>
              <w:t>“</w:t>
            </w:r>
            <w:r w:rsidRPr="00F118EB">
              <w:rPr>
                <w:sz w:val="22"/>
                <w:szCs w:val="22"/>
              </w:rPr>
              <w:t>Đóng góp tài chính</w:t>
            </w:r>
            <w:r w:rsidR="0004457F" w:rsidRPr="00F118EB">
              <w:rPr>
                <w:sz w:val="22"/>
                <w:szCs w:val="22"/>
              </w:rPr>
              <w:t>”</w:t>
            </w:r>
            <w:r w:rsidRPr="00F118EB">
              <w:rPr>
                <w:sz w:val="22"/>
                <w:szCs w:val="22"/>
              </w:rPr>
              <w:t xml:space="preserve"> vì đây là bắt buộc</w:t>
            </w:r>
            <w:r w:rsidR="0004457F" w:rsidRPr="00F118EB">
              <w:rPr>
                <w:sz w:val="22"/>
                <w:szCs w:val="22"/>
              </w:rPr>
              <w:t xml:space="preserve"> chứ không phải tự nguyện, và theo đúng Luật BVMT</w:t>
            </w:r>
            <w:r w:rsidRPr="00F118EB">
              <w:rPr>
                <w:sz w:val="22"/>
                <w:szCs w:val="22"/>
              </w:rPr>
              <w:t xml:space="preserve">. </w:t>
            </w:r>
          </w:p>
          <w:p w14:paraId="6A721DAE" w14:textId="782D850C" w:rsidR="00DB6599" w:rsidRPr="00F118EB" w:rsidRDefault="00DB6599" w:rsidP="009D1F59">
            <w:pPr>
              <w:snapToGrid w:val="0"/>
              <w:jc w:val="both"/>
              <w:rPr>
                <w:sz w:val="22"/>
                <w:szCs w:val="22"/>
              </w:rPr>
            </w:pPr>
            <w:r w:rsidRPr="00F118EB">
              <w:rPr>
                <w:sz w:val="22"/>
                <w:szCs w:val="22"/>
              </w:rPr>
              <w:t>Chi phí quản lý, tổ chức tái chế (Fm) nên tính gộp vào Định mức chi phí tái chế sản phẩm, bao bì (Fm), vì đây là một phần không thể tách rời của hoạt động tái chế. Cách tính gộp này sẽ đơn giản và minh bạch hơn trong quá trình triển khai.</w:t>
            </w:r>
          </w:p>
          <w:p w14:paraId="3A000D3E" w14:textId="77777777" w:rsidR="00DB6599" w:rsidRPr="00F118EB" w:rsidRDefault="00DB6599" w:rsidP="009D1F59">
            <w:pPr>
              <w:snapToGrid w:val="0"/>
              <w:jc w:val="both"/>
              <w:rPr>
                <w:sz w:val="22"/>
                <w:szCs w:val="22"/>
              </w:rPr>
            </w:pPr>
          </w:p>
          <w:p w14:paraId="38032B64" w14:textId="36E994D9" w:rsidR="00DB6599" w:rsidRPr="00F118EB" w:rsidRDefault="00DB6599" w:rsidP="009D1F59">
            <w:pPr>
              <w:snapToGrid w:val="0"/>
              <w:jc w:val="both"/>
              <w:rPr>
                <w:sz w:val="22"/>
                <w:szCs w:val="22"/>
                <w:lang w:val="en-GB"/>
              </w:rPr>
            </w:pPr>
            <w:r w:rsidRPr="00F118EB">
              <w:rPr>
                <w:sz w:val="22"/>
                <w:szCs w:val="22"/>
              </w:rPr>
              <w:lastRenderedPageBreak/>
              <w:t xml:space="preserve">Hệ số Fs cần được quy định chi tiết trong Nghị định, thay vì phải chờ Bộ Tài nguyên và Môi trường hướng dẫn chi tiết sau này. </w:t>
            </w:r>
          </w:p>
          <w:p w14:paraId="1D4BA3AF" w14:textId="77777777" w:rsidR="00DB6599" w:rsidRPr="00F118EB" w:rsidRDefault="00DB6599" w:rsidP="004409DC">
            <w:pPr>
              <w:snapToGrid w:val="0"/>
              <w:jc w:val="both"/>
              <w:rPr>
                <w:sz w:val="22"/>
                <w:szCs w:val="22"/>
                <w:lang w:val="en-GB"/>
              </w:rPr>
            </w:pPr>
          </w:p>
          <w:p w14:paraId="63AEE2DB" w14:textId="520E4A7E" w:rsidR="00DB6599" w:rsidRPr="00F118EB" w:rsidRDefault="00DB6599" w:rsidP="004409DC">
            <w:pPr>
              <w:snapToGrid w:val="0"/>
              <w:jc w:val="both"/>
              <w:rPr>
                <w:sz w:val="22"/>
                <w:szCs w:val="22"/>
                <w:lang w:val="vi-VN"/>
              </w:rPr>
            </w:pPr>
            <w:r w:rsidRPr="00F118EB">
              <w:rPr>
                <w:sz w:val="22"/>
                <w:szCs w:val="22"/>
              </w:rPr>
              <w:t xml:space="preserve">Việc thu chi khoản </w:t>
            </w:r>
            <w:r w:rsidR="0004457F" w:rsidRPr="00F118EB">
              <w:rPr>
                <w:sz w:val="22"/>
                <w:szCs w:val="22"/>
              </w:rPr>
              <w:t>phí</w:t>
            </w:r>
            <w:r w:rsidRPr="00F118EB">
              <w:rPr>
                <w:sz w:val="22"/>
                <w:szCs w:val="22"/>
              </w:rPr>
              <w:t xml:space="preserve"> này cần được công khai, minh bạch và sử dụng đúng mục đích. Ví dụ: Chính phủ ban hành chính sách cụ thể về việc dùng nguồn thu của Quỹ Bảo vệ môi trường Việt Nam để đầu tư xây dựng các nhà máy tái chế do nhà nước quản lý, vận hành hoặc đưa ra các chính sách hỗ trợ đầu tư vốn cho các doanh nghiệp ngoài nhà nước thực hiện đầu tư các nhà máy này theo từng giai đoạn. Khi thu phí tái chế tăng lên thì việc đầu tư các nhà máy tái chế cũng tăng tương ứng. Có như vậy thì các nguồn thu mới của Quỹ mới đóng góp vào quá trình giảm thiểu các tác động môi trường, theo đúng mục tiêu đề ra.</w:t>
            </w:r>
          </w:p>
        </w:tc>
        <w:tc>
          <w:tcPr>
            <w:tcW w:w="3968" w:type="dxa"/>
          </w:tcPr>
          <w:p w14:paraId="5ACE521A" w14:textId="558060C0" w:rsidR="0004457F" w:rsidRPr="00F118EB" w:rsidRDefault="0004457F" w:rsidP="009D1F59">
            <w:pPr>
              <w:spacing w:before="120"/>
              <w:jc w:val="both"/>
              <w:rPr>
                <w:b/>
                <w:bCs/>
                <w:sz w:val="22"/>
                <w:szCs w:val="22"/>
              </w:rPr>
            </w:pPr>
            <w:r w:rsidRPr="00F118EB">
              <w:rPr>
                <w:b/>
                <w:bCs/>
                <w:sz w:val="22"/>
                <w:szCs w:val="22"/>
              </w:rPr>
              <w:lastRenderedPageBreak/>
              <w:t>- Thay từ “Đóng góp tài chính” bằng từ “Phí tái chế” .</w:t>
            </w:r>
          </w:p>
          <w:p w14:paraId="7443585A" w14:textId="19DE58D1" w:rsidR="0004457F" w:rsidRPr="00F118EB" w:rsidRDefault="0004457F" w:rsidP="009D1F59">
            <w:pPr>
              <w:spacing w:before="120"/>
              <w:jc w:val="both"/>
              <w:rPr>
                <w:sz w:val="22"/>
                <w:szCs w:val="22"/>
              </w:rPr>
            </w:pPr>
            <w:r w:rsidRPr="00F118EB">
              <w:rPr>
                <w:sz w:val="22"/>
                <w:szCs w:val="22"/>
              </w:rPr>
              <w:t>- Nghị định quy định cụ thể hệ số Fs,</w:t>
            </w:r>
            <w:r w:rsidR="00DB6599" w:rsidRPr="00F118EB">
              <w:rPr>
                <w:sz w:val="22"/>
                <w:szCs w:val="22"/>
              </w:rPr>
              <w:t xml:space="preserve"> bỏ hệ số Fm trong công thức tính </w:t>
            </w:r>
            <w:r w:rsidRPr="00F118EB">
              <w:rPr>
                <w:sz w:val="22"/>
                <w:szCs w:val="22"/>
              </w:rPr>
              <w:t>phí tái chế</w:t>
            </w:r>
            <w:r w:rsidR="00DB6599" w:rsidRPr="00F118EB">
              <w:rPr>
                <w:sz w:val="22"/>
                <w:szCs w:val="22"/>
              </w:rPr>
              <w:t xml:space="preserve"> (F)</w:t>
            </w:r>
            <w:r w:rsidRPr="00F118EB">
              <w:rPr>
                <w:sz w:val="22"/>
                <w:szCs w:val="22"/>
              </w:rPr>
              <w:t>.</w:t>
            </w:r>
            <w:r w:rsidR="00DB6599" w:rsidRPr="00F118EB">
              <w:rPr>
                <w:sz w:val="22"/>
                <w:szCs w:val="22"/>
              </w:rPr>
              <w:t xml:space="preserve"> </w:t>
            </w:r>
          </w:p>
          <w:p w14:paraId="2420C7F8" w14:textId="259079FC" w:rsidR="0004457F" w:rsidRPr="00F118EB" w:rsidRDefault="0004457F" w:rsidP="009D1F59">
            <w:pPr>
              <w:spacing w:before="120"/>
              <w:jc w:val="both"/>
              <w:rPr>
                <w:bCs/>
                <w:sz w:val="22"/>
                <w:szCs w:val="22"/>
                <w:shd w:val="clear" w:color="auto" w:fill="FFFFFF"/>
              </w:rPr>
            </w:pPr>
            <w:r w:rsidRPr="00F118EB">
              <w:rPr>
                <w:sz w:val="22"/>
                <w:szCs w:val="22"/>
              </w:rPr>
              <w:t>- B</w:t>
            </w:r>
            <w:r w:rsidR="00DB6599" w:rsidRPr="00F118EB">
              <w:rPr>
                <w:sz w:val="22"/>
                <w:szCs w:val="22"/>
              </w:rPr>
              <w:t>ỏ quy địn</w:t>
            </w:r>
            <w:r w:rsidRPr="00F118EB">
              <w:rPr>
                <w:sz w:val="22"/>
                <w:szCs w:val="22"/>
              </w:rPr>
              <w:t>h</w:t>
            </w:r>
            <w:r w:rsidR="00DB6599" w:rsidRPr="00F118EB">
              <w:rPr>
                <w:sz w:val="22"/>
                <w:szCs w:val="22"/>
              </w:rPr>
              <w:t xml:space="preserve"> “</w:t>
            </w:r>
            <w:r w:rsidR="00DB6599" w:rsidRPr="00F118EB">
              <w:rPr>
                <w:bCs/>
                <w:sz w:val="22"/>
                <w:szCs w:val="22"/>
                <w:shd w:val="clear" w:color="auto" w:fill="FFFFFF"/>
              </w:rPr>
              <w:t xml:space="preserve"> Bộ Tài nguyên và Môi trường quy định chi tiết việc xác định định mức chi phí tái chế (Fs) và chi phí quản lý, tổ chức tái chế (Fm) của từng loại sản phẩm”</w:t>
            </w:r>
          </w:p>
          <w:p w14:paraId="6D95709F" w14:textId="174A08E0" w:rsidR="0004457F" w:rsidRPr="00F118EB" w:rsidRDefault="0004457F" w:rsidP="0004457F">
            <w:pPr>
              <w:spacing w:before="120"/>
              <w:jc w:val="both"/>
              <w:rPr>
                <w:bCs/>
                <w:sz w:val="22"/>
                <w:szCs w:val="22"/>
                <w:lang w:val="en-GB"/>
              </w:rPr>
            </w:pPr>
            <w:r w:rsidRPr="00F118EB">
              <w:rPr>
                <w:bCs/>
                <w:sz w:val="22"/>
                <w:szCs w:val="22"/>
                <w:shd w:val="clear" w:color="auto" w:fill="FFFFFF"/>
              </w:rPr>
              <w:lastRenderedPageBreak/>
              <w:t>thay bằng: Trường hợp cần điều chỉnh để phù hợp với thực tiễn,</w:t>
            </w:r>
            <w:r w:rsidRPr="00F118EB">
              <w:rPr>
                <w:bCs/>
                <w:sz w:val="22"/>
                <w:szCs w:val="22"/>
                <w:lang w:val="en-GB"/>
              </w:rPr>
              <w:t xml:space="preserve"> Bộ Tài nguyên môi trường đề xuất</w:t>
            </w:r>
            <w:r w:rsidRPr="00F118EB">
              <w:rPr>
                <w:bCs/>
                <w:sz w:val="22"/>
                <w:szCs w:val="22"/>
                <w:shd w:val="clear" w:color="auto" w:fill="FFFFFF"/>
              </w:rPr>
              <w:t xml:space="preserve"> điều chỉnh định mức chi phí tái chế (Fs)</w:t>
            </w:r>
            <w:r w:rsidRPr="00F118EB">
              <w:rPr>
                <w:bCs/>
                <w:sz w:val="22"/>
                <w:szCs w:val="22"/>
                <w:lang w:val="en-GB"/>
              </w:rPr>
              <w:t xml:space="preserve"> và trình Chính phủ phê duyệt.</w:t>
            </w:r>
          </w:p>
          <w:p w14:paraId="66275EA8" w14:textId="706EA5BD" w:rsidR="00DB6599" w:rsidRPr="00F118EB" w:rsidRDefault="00DB6599" w:rsidP="009F65C0">
            <w:pPr>
              <w:snapToGrid w:val="0"/>
              <w:jc w:val="both"/>
              <w:rPr>
                <w:sz w:val="22"/>
                <w:szCs w:val="22"/>
              </w:rPr>
            </w:pPr>
          </w:p>
          <w:p w14:paraId="4741D9A1" w14:textId="031BBC00" w:rsidR="00DB6599" w:rsidRPr="00F118EB" w:rsidRDefault="00DB6599" w:rsidP="009F65C0">
            <w:pPr>
              <w:snapToGrid w:val="0"/>
              <w:jc w:val="both"/>
              <w:rPr>
                <w:sz w:val="22"/>
                <w:szCs w:val="22"/>
                <w:lang w:val="vi-VN"/>
              </w:rPr>
            </w:pPr>
          </w:p>
        </w:tc>
      </w:tr>
      <w:tr w:rsidR="009F65C0" w:rsidRPr="00F118EB" w14:paraId="3782D8E9" w14:textId="77777777" w:rsidTr="00E24CCA">
        <w:tc>
          <w:tcPr>
            <w:tcW w:w="715" w:type="dxa"/>
          </w:tcPr>
          <w:p w14:paraId="6A928670" w14:textId="467702EE" w:rsidR="009F65C0" w:rsidRPr="00F118EB" w:rsidRDefault="00830B39" w:rsidP="00E52C73">
            <w:pPr>
              <w:snapToGrid w:val="0"/>
              <w:jc w:val="center"/>
              <w:rPr>
                <w:bCs/>
                <w:sz w:val="22"/>
                <w:szCs w:val="22"/>
                <w:lang w:val="en-GB"/>
              </w:rPr>
            </w:pPr>
            <w:r w:rsidRPr="00F118EB">
              <w:rPr>
                <w:bCs/>
                <w:sz w:val="22"/>
                <w:szCs w:val="22"/>
                <w:lang w:val="en-GB"/>
              </w:rPr>
              <w:t>3</w:t>
            </w:r>
          </w:p>
          <w:p w14:paraId="123C5D58" w14:textId="77777777" w:rsidR="009F65C0" w:rsidRPr="00F118EB" w:rsidRDefault="009F65C0" w:rsidP="009F65C0">
            <w:pPr>
              <w:snapToGrid w:val="0"/>
              <w:jc w:val="right"/>
              <w:rPr>
                <w:bCs/>
                <w:sz w:val="22"/>
                <w:szCs w:val="22"/>
                <w:lang w:val="en-GB"/>
              </w:rPr>
            </w:pPr>
          </w:p>
        </w:tc>
        <w:tc>
          <w:tcPr>
            <w:tcW w:w="1259" w:type="dxa"/>
          </w:tcPr>
          <w:p w14:paraId="30D5A69A" w14:textId="77777777" w:rsidR="009F65C0" w:rsidRPr="00F118EB" w:rsidRDefault="009F65C0" w:rsidP="009F65C0">
            <w:pPr>
              <w:snapToGrid w:val="0"/>
              <w:jc w:val="center"/>
              <w:rPr>
                <w:b/>
                <w:sz w:val="22"/>
                <w:szCs w:val="22"/>
                <w:lang w:val="en-GB"/>
              </w:rPr>
            </w:pPr>
            <w:r w:rsidRPr="00F118EB">
              <w:rPr>
                <w:b/>
                <w:sz w:val="22"/>
                <w:szCs w:val="22"/>
                <w:lang w:val="en-GB"/>
              </w:rPr>
              <w:t>Điều 90</w:t>
            </w:r>
          </w:p>
        </w:tc>
        <w:tc>
          <w:tcPr>
            <w:tcW w:w="13051" w:type="dxa"/>
            <w:gridSpan w:val="3"/>
          </w:tcPr>
          <w:p w14:paraId="0F652D2D" w14:textId="77777777" w:rsidR="009F65C0" w:rsidRPr="00F118EB" w:rsidRDefault="009F65C0" w:rsidP="009F65C0">
            <w:pPr>
              <w:snapToGrid w:val="0"/>
              <w:jc w:val="both"/>
              <w:rPr>
                <w:b/>
                <w:bCs/>
                <w:sz w:val="22"/>
                <w:szCs w:val="22"/>
              </w:rPr>
            </w:pPr>
            <w:r w:rsidRPr="00F118EB">
              <w:rPr>
                <w:b/>
                <w:bCs/>
                <w:sz w:val="22"/>
                <w:szCs w:val="22"/>
                <w:shd w:val="clear" w:color="auto" w:fill="FFFFFF"/>
              </w:rPr>
              <w:t>Đăng ký kế hoạch, báo cáo kết quả tái chế và kê khai, đóng góp tài chính cho Quỹ Bảo vệ môi trường để hỗ trợ tái chế</w:t>
            </w:r>
          </w:p>
        </w:tc>
      </w:tr>
      <w:tr w:rsidR="009F65C0" w:rsidRPr="00F118EB" w14:paraId="4340640A" w14:textId="77777777" w:rsidTr="00E24CCA">
        <w:tc>
          <w:tcPr>
            <w:tcW w:w="715" w:type="dxa"/>
          </w:tcPr>
          <w:p w14:paraId="31C83A03" w14:textId="77777777" w:rsidR="009F65C0" w:rsidRPr="00F118EB" w:rsidRDefault="009F65C0" w:rsidP="009F65C0">
            <w:pPr>
              <w:snapToGrid w:val="0"/>
              <w:jc w:val="right"/>
              <w:rPr>
                <w:bCs/>
                <w:sz w:val="22"/>
                <w:szCs w:val="22"/>
                <w:lang w:val="en-GB"/>
              </w:rPr>
            </w:pPr>
          </w:p>
        </w:tc>
        <w:tc>
          <w:tcPr>
            <w:tcW w:w="1259" w:type="dxa"/>
          </w:tcPr>
          <w:p w14:paraId="696656FC" w14:textId="77777777" w:rsidR="009F65C0" w:rsidRPr="00F118EB" w:rsidRDefault="009F65C0" w:rsidP="009F65C0">
            <w:pPr>
              <w:snapToGrid w:val="0"/>
              <w:jc w:val="center"/>
              <w:rPr>
                <w:bCs/>
                <w:sz w:val="22"/>
                <w:szCs w:val="22"/>
                <w:lang w:val="en-GB"/>
              </w:rPr>
            </w:pPr>
            <w:r w:rsidRPr="00F118EB">
              <w:rPr>
                <w:bCs/>
                <w:sz w:val="22"/>
                <w:szCs w:val="22"/>
                <w:lang w:val="en-GB"/>
              </w:rPr>
              <w:t>Khoản 2</w:t>
            </w:r>
          </w:p>
        </w:tc>
        <w:tc>
          <w:tcPr>
            <w:tcW w:w="4861" w:type="dxa"/>
          </w:tcPr>
          <w:p w14:paraId="1623EFD8" w14:textId="77777777" w:rsidR="009F65C0" w:rsidRPr="00F118EB" w:rsidRDefault="009F65C0" w:rsidP="009F65C0">
            <w:pPr>
              <w:snapToGrid w:val="0"/>
              <w:jc w:val="both"/>
              <w:rPr>
                <w:iCs/>
                <w:sz w:val="22"/>
                <w:szCs w:val="22"/>
                <w:lang w:val="en-GB"/>
              </w:rPr>
            </w:pPr>
            <w:r w:rsidRPr="00F118EB">
              <w:rPr>
                <w:sz w:val="22"/>
                <w:szCs w:val="22"/>
                <w:shd w:val="clear" w:color="auto" w:fill="FFFFFF"/>
              </w:rPr>
              <w:t>Trường hợp kế hoạch tái chế hoặc báo cáo kết quả tái chế không đạt yêu cầu, Văn phòng EPR Việt Nam thông báo nhà sản xuất, nhập khẩu hoặc bên thứ ba được ủy quyền để hoàn thiện trong thời hạn 10 ngày làm việc</w:t>
            </w:r>
          </w:p>
        </w:tc>
        <w:tc>
          <w:tcPr>
            <w:tcW w:w="4222" w:type="dxa"/>
          </w:tcPr>
          <w:p w14:paraId="7BB4F354" w14:textId="6D18B798" w:rsidR="00AA4ACA" w:rsidRPr="00F118EB" w:rsidRDefault="009A3800" w:rsidP="00AA4ACA">
            <w:pPr>
              <w:snapToGrid w:val="0"/>
              <w:jc w:val="both"/>
              <w:rPr>
                <w:sz w:val="22"/>
                <w:szCs w:val="22"/>
                <w:lang w:val="en-GB"/>
              </w:rPr>
            </w:pPr>
            <w:r w:rsidRPr="00F118EB">
              <w:rPr>
                <w:sz w:val="22"/>
                <w:szCs w:val="22"/>
                <w:lang w:val="en-GB"/>
              </w:rPr>
              <w:t xml:space="preserve">Theo chúng tôi, thời hạn 10 ngày làm việc là quá ngắn để các doanh nghiệp thu thập số liệu và chỉnh sửa kế hoạch tái chế, báo cáo tái chế chưa đạt yêu cầu. Vì vậy, chúng tôi kiến nghị Ban soạn thảo </w:t>
            </w:r>
            <w:r w:rsidR="008F7231" w:rsidRPr="00F118EB">
              <w:rPr>
                <w:sz w:val="22"/>
                <w:szCs w:val="22"/>
                <w:lang w:val="en-GB"/>
              </w:rPr>
              <w:t>tăng t</w:t>
            </w:r>
            <w:r w:rsidRPr="00F118EB">
              <w:rPr>
                <w:sz w:val="22"/>
                <w:szCs w:val="22"/>
                <w:lang w:val="en-GB"/>
              </w:rPr>
              <w:t xml:space="preserve">hời </w:t>
            </w:r>
            <w:r w:rsidR="008F7231" w:rsidRPr="00F118EB">
              <w:rPr>
                <w:sz w:val="22"/>
                <w:szCs w:val="22"/>
                <w:lang w:val="en-GB"/>
              </w:rPr>
              <w:t xml:space="preserve">hạn lên </w:t>
            </w:r>
            <w:r w:rsidRPr="00F118EB">
              <w:rPr>
                <w:sz w:val="22"/>
                <w:szCs w:val="22"/>
                <w:lang w:val="en-GB"/>
              </w:rPr>
              <w:t>60 ngày làm việc kể từ ngày nhận được thông báo của Văn phòng EPR Việt Nam</w:t>
            </w:r>
          </w:p>
        </w:tc>
        <w:tc>
          <w:tcPr>
            <w:tcW w:w="3968" w:type="dxa"/>
          </w:tcPr>
          <w:p w14:paraId="7C4332D9" w14:textId="3C8EC972" w:rsidR="00611FD2" w:rsidRPr="00F118EB" w:rsidRDefault="00611FD2" w:rsidP="009F65C0">
            <w:pPr>
              <w:snapToGrid w:val="0"/>
              <w:jc w:val="both"/>
              <w:rPr>
                <w:sz w:val="22"/>
                <w:szCs w:val="22"/>
                <w:shd w:val="clear" w:color="auto" w:fill="FFFFFF"/>
              </w:rPr>
            </w:pPr>
            <w:r w:rsidRPr="00F118EB">
              <w:rPr>
                <w:sz w:val="22"/>
                <w:szCs w:val="22"/>
                <w:shd w:val="clear" w:color="auto" w:fill="FFFFFF"/>
              </w:rPr>
              <w:t>Đề nghị sửa thành:</w:t>
            </w:r>
          </w:p>
          <w:p w14:paraId="54BF504D" w14:textId="6CB1444D" w:rsidR="009F65C0" w:rsidRPr="00F118EB" w:rsidRDefault="00611FD2" w:rsidP="009F65C0">
            <w:pPr>
              <w:snapToGrid w:val="0"/>
              <w:jc w:val="both"/>
              <w:rPr>
                <w:i/>
                <w:iCs/>
                <w:sz w:val="22"/>
                <w:szCs w:val="22"/>
                <w:shd w:val="clear" w:color="auto" w:fill="FFFFFF"/>
              </w:rPr>
            </w:pPr>
            <w:r w:rsidRPr="00F118EB">
              <w:rPr>
                <w:i/>
                <w:iCs/>
                <w:sz w:val="22"/>
                <w:szCs w:val="22"/>
                <w:shd w:val="clear" w:color="auto" w:fill="FFFFFF"/>
              </w:rPr>
              <w:t>“</w:t>
            </w:r>
            <w:r w:rsidR="009A3800" w:rsidRPr="00F118EB">
              <w:rPr>
                <w:i/>
                <w:iCs/>
                <w:sz w:val="22"/>
                <w:szCs w:val="22"/>
                <w:shd w:val="clear" w:color="auto" w:fill="FFFFFF"/>
              </w:rPr>
              <w:t>Trường hợp kế hoạch tái chế hoặc báo cáo kết quả tái chế không đạt yêu cầu, Văn phòng EPR Việt Nam thông báo nhà sản xuất, nhập khẩu hoặc bên thứ ba được ủy quyền để hoàn thiện trong thời hạn 60 ngày làm việc</w:t>
            </w:r>
            <w:r w:rsidRPr="00F118EB">
              <w:rPr>
                <w:i/>
                <w:iCs/>
                <w:sz w:val="22"/>
                <w:szCs w:val="22"/>
                <w:shd w:val="clear" w:color="auto" w:fill="FFFFFF"/>
              </w:rPr>
              <w:t>”.</w:t>
            </w:r>
          </w:p>
          <w:p w14:paraId="67E7D0C1" w14:textId="45547953" w:rsidR="00611FD2" w:rsidRPr="00F118EB" w:rsidRDefault="00611FD2" w:rsidP="009F65C0">
            <w:pPr>
              <w:snapToGrid w:val="0"/>
              <w:jc w:val="both"/>
              <w:rPr>
                <w:sz w:val="22"/>
                <w:szCs w:val="22"/>
              </w:rPr>
            </w:pPr>
          </w:p>
        </w:tc>
      </w:tr>
      <w:tr w:rsidR="009F65C0" w:rsidRPr="00F118EB" w14:paraId="7DF2CA1C" w14:textId="77777777" w:rsidTr="00E24CCA">
        <w:tc>
          <w:tcPr>
            <w:tcW w:w="715" w:type="dxa"/>
          </w:tcPr>
          <w:p w14:paraId="184AAB00" w14:textId="77777777" w:rsidR="009F65C0" w:rsidRPr="00F118EB" w:rsidRDefault="009F65C0" w:rsidP="009F65C0">
            <w:pPr>
              <w:snapToGrid w:val="0"/>
              <w:jc w:val="right"/>
              <w:rPr>
                <w:bCs/>
                <w:sz w:val="22"/>
                <w:szCs w:val="22"/>
                <w:lang w:val="en-GB"/>
              </w:rPr>
            </w:pPr>
          </w:p>
        </w:tc>
        <w:tc>
          <w:tcPr>
            <w:tcW w:w="1259" w:type="dxa"/>
          </w:tcPr>
          <w:p w14:paraId="038EF0E7" w14:textId="77777777" w:rsidR="009F65C0" w:rsidRPr="00F118EB" w:rsidRDefault="009F65C0" w:rsidP="009F65C0">
            <w:pPr>
              <w:snapToGrid w:val="0"/>
              <w:jc w:val="center"/>
              <w:rPr>
                <w:bCs/>
                <w:sz w:val="22"/>
                <w:szCs w:val="22"/>
                <w:lang w:val="en-GB"/>
              </w:rPr>
            </w:pPr>
            <w:r w:rsidRPr="00F118EB">
              <w:rPr>
                <w:bCs/>
                <w:sz w:val="22"/>
                <w:szCs w:val="22"/>
                <w:lang w:val="en-GB"/>
              </w:rPr>
              <w:t>Khoản 3</w:t>
            </w:r>
          </w:p>
        </w:tc>
        <w:tc>
          <w:tcPr>
            <w:tcW w:w="4861" w:type="dxa"/>
          </w:tcPr>
          <w:p w14:paraId="1DBC6F7D" w14:textId="77777777" w:rsidR="009F65C0" w:rsidRPr="00F118EB" w:rsidRDefault="009F65C0" w:rsidP="009A3800">
            <w:pPr>
              <w:snapToGrid w:val="0"/>
              <w:jc w:val="both"/>
              <w:rPr>
                <w:iCs/>
                <w:sz w:val="22"/>
                <w:szCs w:val="22"/>
                <w:lang w:val="en-GB"/>
              </w:rPr>
            </w:pPr>
            <w:r w:rsidRPr="00F118EB">
              <w:rPr>
                <w:iCs/>
                <w:sz w:val="22"/>
                <w:szCs w:val="22"/>
                <w:lang w:val="en-GB"/>
              </w:rPr>
              <w:t>Nhà sản xuất, nhập khẩu thuê doanh nghiệp kiểm toán theo quy định của pháp luật về kiểm toán độc lập để thực hiện kiểm toán và xác nhận vào báo cáo kết quả tái chế trước khi nộp cho Văn phòng EPR Việt Nam.</w:t>
            </w:r>
          </w:p>
        </w:tc>
        <w:tc>
          <w:tcPr>
            <w:tcW w:w="4222" w:type="dxa"/>
          </w:tcPr>
          <w:p w14:paraId="610DD045" w14:textId="42C7BE4A" w:rsidR="009F65C0" w:rsidRPr="00F118EB" w:rsidRDefault="009A3800" w:rsidP="008F7231">
            <w:pPr>
              <w:snapToGrid w:val="0"/>
              <w:jc w:val="both"/>
              <w:rPr>
                <w:sz w:val="22"/>
                <w:szCs w:val="22"/>
                <w:lang w:val="en-GB"/>
              </w:rPr>
            </w:pPr>
            <w:r w:rsidRPr="00F118EB">
              <w:rPr>
                <w:sz w:val="22"/>
                <w:szCs w:val="22"/>
                <w:lang w:val="en-GB"/>
              </w:rPr>
              <w:t xml:space="preserve">Đề nghị bổ sung </w:t>
            </w:r>
            <w:r w:rsidR="008F7231" w:rsidRPr="00F118EB">
              <w:rPr>
                <w:sz w:val="22"/>
                <w:szCs w:val="22"/>
                <w:lang w:val="en-GB"/>
              </w:rPr>
              <w:t xml:space="preserve">quy định cho phép doanh nghiệp tự chịu trách nhiệm về báo cáo kết quả tái chế. Cơ quan quản lý nhà nước thực hiện hậu kiểm nếu thấy cần thiết </w:t>
            </w:r>
          </w:p>
        </w:tc>
        <w:tc>
          <w:tcPr>
            <w:tcW w:w="3968" w:type="dxa"/>
          </w:tcPr>
          <w:p w14:paraId="29DF775B" w14:textId="4CD2FE85" w:rsidR="00611FD2" w:rsidRPr="00F118EB" w:rsidRDefault="00611FD2" w:rsidP="009F65C0">
            <w:pPr>
              <w:snapToGrid w:val="0"/>
              <w:jc w:val="both"/>
              <w:rPr>
                <w:sz w:val="22"/>
                <w:szCs w:val="22"/>
              </w:rPr>
            </w:pPr>
            <w:r w:rsidRPr="00F118EB">
              <w:rPr>
                <w:sz w:val="22"/>
                <w:szCs w:val="22"/>
              </w:rPr>
              <w:t xml:space="preserve">Đề nghị sửa thành: </w:t>
            </w:r>
          </w:p>
          <w:p w14:paraId="69FBDA4E" w14:textId="557B0191" w:rsidR="00AA4ACA" w:rsidRPr="00F118EB" w:rsidRDefault="00611FD2" w:rsidP="009F65C0">
            <w:pPr>
              <w:snapToGrid w:val="0"/>
              <w:jc w:val="both"/>
              <w:rPr>
                <w:i/>
                <w:iCs/>
                <w:sz w:val="22"/>
                <w:szCs w:val="22"/>
              </w:rPr>
            </w:pPr>
            <w:r w:rsidRPr="00F118EB">
              <w:rPr>
                <w:i/>
                <w:iCs/>
                <w:sz w:val="22"/>
                <w:szCs w:val="22"/>
              </w:rPr>
              <w:t>“</w:t>
            </w:r>
            <w:r w:rsidR="008F7231" w:rsidRPr="00F118EB">
              <w:rPr>
                <w:i/>
                <w:iCs/>
                <w:sz w:val="22"/>
                <w:szCs w:val="22"/>
                <w:lang w:val="en-GB"/>
              </w:rPr>
              <w:t xml:space="preserve">Nhà sản xuất, nhập khẩu </w:t>
            </w:r>
            <w:r w:rsidR="008F7231" w:rsidRPr="00F118EB">
              <w:rPr>
                <w:b/>
                <w:bCs/>
                <w:i/>
                <w:iCs/>
                <w:sz w:val="22"/>
                <w:szCs w:val="22"/>
                <w:lang w:val="en-GB"/>
              </w:rPr>
              <w:t xml:space="preserve">tự xác nhận vào báo cáo kết quả tái chế </w:t>
            </w:r>
            <w:r w:rsidR="008F7231" w:rsidRPr="00F118EB">
              <w:rPr>
                <w:i/>
                <w:iCs/>
                <w:sz w:val="22"/>
                <w:szCs w:val="22"/>
                <w:lang w:val="en-GB"/>
              </w:rPr>
              <w:t>hoặc thuê doanh nghiệp kiểm toán theo quy định của pháp luật về kiểm toán độc lập để thực hiện kiểm toán và xác nhận vào báo cáo kết quả tái chế trước khi nộp cho Văn phòng EPR Việt Nam</w:t>
            </w:r>
            <w:r w:rsidRPr="00F118EB">
              <w:rPr>
                <w:i/>
                <w:iCs/>
                <w:sz w:val="22"/>
                <w:szCs w:val="22"/>
                <w:lang w:val="en-GB"/>
              </w:rPr>
              <w:t>”</w:t>
            </w:r>
            <w:r w:rsidR="008F7231" w:rsidRPr="00F118EB">
              <w:rPr>
                <w:i/>
                <w:iCs/>
                <w:sz w:val="22"/>
                <w:szCs w:val="22"/>
                <w:lang w:val="en-GB"/>
              </w:rPr>
              <w:t xml:space="preserve">. </w:t>
            </w:r>
          </w:p>
        </w:tc>
      </w:tr>
      <w:tr w:rsidR="009F65C0" w:rsidRPr="00F118EB" w14:paraId="3DE0955F" w14:textId="77777777" w:rsidTr="00E24CCA">
        <w:tc>
          <w:tcPr>
            <w:tcW w:w="715" w:type="dxa"/>
          </w:tcPr>
          <w:p w14:paraId="664083F6" w14:textId="77777777" w:rsidR="009F65C0" w:rsidRPr="00F118EB" w:rsidRDefault="009F65C0" w:rsidP="009F65C0">
            <w:pPr>
              <w:snapToGrid w:val="0"/>
              <w:jc w:val="right"/>
              <w:rPr>
                <w:bCs/>
                <w:sz w:val="22"/>
                <w:szCs w:val="22"/>
                <w:lang w:val="en-GB"/>
              </w:rPr>
            </w:pPr>
          </w:p>
        </w:tc>
        <w:tc>
          <w:tcPr>
            <w:tcW w:w="1259" w:type="dxa"/>
          </w:tcPr>
          <w:p w14:paraId="541374DE" w14:textId="77777777" w:rsidR="009F65C0" w:rsidRPr="00F118EB" w:rsidRDefault="009F65C0" w:rsidP="009F65C0">
            <w:pPr>
              <w:snapToGrid w:val="0"/>
              <w:jc w:val="center"/>
              <w:rPr>
                <w:bCs/>
                <w:sz w:val="22"/>
                <w:szCs w:val="22"/>
                <w:lang w:val="en-GB"/>
              </w:rPr>
            </w:pPr>
            <w:r w:rsidRPr="00F118EB">
              <w:rPr>
                <w:bCs/>
                <w:sz w:val="22"/>
                <w:szCs w:val="22"/>
                <w:lang w:val="en-GB"/>
              </w:rPr>
              <w:t>Khoản 4c</w:t>
            </w:r>
          </w:p>
        </w:tc>
        <w:tc>
          <w:tcPr>
            <w:tcW w:w="4861" w:type="dxa"/>
          </w:tcPr>
          <w:p w14:paraId="7D1D7E8B" w14:textId="77777777" w:rsidR="009F65C0" w:rsidRPr="00F118EB" w:rsidRDefault="009F65C0" w:rsidP="009F65C0">
            <w:pPr>
              <w:snapToGrid w:val="0"/>
              <w:jc w:val="both"/>
              <w:rPr>
                <w:sz w:val="22"/>
                <w:szCs w:val="22"/>
                <w:shd w:val="clear" w:color="auto" w:fill="FFFFFF"/>
              </w:rPr>
            </w:pPr>
            <w:r w:rsidRPr="00F118EB">
              <w:rPr>
                <w:sz w:val="22"/>
                <w:szCs w:val="22"/>
                <w:shd w:val="clear" w:color="auto" w:fill="FFFFFF"/>
              </w:rPr>
              <w:t xml:space="preserve">Nhà sản xuất, nhập khẩu có trách nhiệm nộp tiền vào Quỹ Bảo vệ môi trường Việt Nam trong thời hạn 15 </w:t>
            </w:r>
            <w:r w:rsidRPr="00F118EB">
              <w:rPr>
                <w:sz w:val="22"/>
                <w:szCs w:val="22"/>
                <w:shd w:val="clear" w:color="auto" w:fill="FFFFFF"/>
              </w:rPr>
              <w:lastRenderedPageBreak/>
              <w:t>ngày kể từ ngày nhận được thông báo nộp tiền của Văn phòng EPR Việt Nam</w:t>
            </w:r>
          </w:p>
          <w:p w14:paraId="09775632" w14:textId="21CAD36B" w:rsidR="00E24CCA" w:rsidRPr="00F118EB" w:rsidRDefault="00E24CCA" w:rsidP="009F65C0">
            <w:pPr>
              <w:snapToGrid w:val="0"/>
              <w:jc w:val="both"/>
              <w:rPr>
                <w:iCs/>
                <w:sz w:val="22"/>
                <w:szCs w:val="22"/>
                <w:lang w:val="en-GB"/>
              </w:rPr>
            </w:pPr>
          </w:p>
        </w:tc>
        <w:tc>
          <w:tcPr>
            <w:tcW w:w="4222" w:type="dxa"/>
          </w:tcPr>
          <w:p w14:paraId="42328512" w14:textId="7AFE51E0" w:rsidR="009F65C0" w:rsidRPr="00F118EB" w:rsidRDefault="009F65C0" w:rsidP="008F7231">
            <w:pPr>
              <w:snapToGrid w:val="0"/>
              <w:jc w:val="both"/>
              <w:rPr>
                <w:sz w:val="22"/>
                <w:szCs w:val="22"/>
                <w:lang w:val="en-GB"/>
              </w:rPr>
            </w:pPr>
            <w:r w:rsidRPr="00F118EB">
              <w:rPr>
                <w:sz w:val="22"/>
                <w:szCs w:val="22"/>
                <w:shd w:val="clear" w:color="auto" w:fill="FFFFFF"/>
              </w:rPr>
              <w:lastRenderedPageBreak/>
              <w:t xml:space="preserve">Thời hạn 15 ngày làm việc là quá ngắn để DN có thể thu xếp tài chính và thanh toán, nhất là </w:t>
            </w:r>
            <w:r w:rsidRPr="00F118EB">
              <w:rPr>
                <w:sz w:val="22"/>
                <w:szCs w:val="22"/>
                <w:shd w:val="clear" w:color="auto" w:fill="FFFFFF"/>
              </w:rPr>
              <w:lastRenderedPageBreak/>
              <w:t>khi có bất đồng về số tiền phải nộp.</w:t>
            </w:r>
            <w:r w:rsidR="008F7231" w:rsidRPr="00F118EB">
              <w:rPr>
                <w:sz w:val="22"/>
                <w:szCs w:val="22"/>
                <w:shd w:val="clear" w:color="auto" w:fill="FFFFFF"/>
              </w:rPr>
              <w:t xml:space="preserve"> Kiến nghị tăng thời hạn lên 60 ngày làm việc</w:t>
            </w:r>
          </w:p>
        </w:tc>
        <w:tc>
          <w:tcPr>
            <w:tcW w:w="3968" w:type="dxa"/>
          </w:tcPr>
          <w:p w14:paraId="1E13B7EA" w14:textId="49ED7052" w:rsidR="00611FD2" w:rsidRPr="00F118EB" w:rsidRDefault="00611FD2" w:rsidP="008F7231">
            <w:pPr>
              <w:snapToGrid w:val="0"/>
              <w:jc w:val="both"/>
              <w:rPr>
                <w:sz w:val="22"/>
                <w:szCs w:val="22"/>
              </w:rPr>
            </w:pPr>
            <w:r w:rsidRPr="00F118EB">
              <w:rPr>
                <w:sz w:val="22"/>
                <w:szCs w:val="22"/>
              </w:rPr>
              <w:lastRenderedPageBreak/>
              <w:t xml:space="preserve">Đề nghị sửa thành: </w:t>
            </w:r>
          </w:p>
          <w:p w14:paraId="47AB83C5" w14:textId="77777777" w:rsidR="00611FD2" w:rsidRPr="00F118EB" w:rsidRDefault="00611FD2" w:rsidP="008F7231">
            <w:pPr>
              <w:snapToGrid w:val="0"/>
              <w:jc w:val="both"/>
              <w:rPr>
                <w:sz w:val="22"/>
                <w:szCs w:val="22"/>
              </w:rPr>
            </w:pPr>
          </w:p>
          <w:p w14:paraId="2727D344" w14:textId="6AF7FBED" w:rsidR="009F65C0" w:rsidRPr="00F118EB" w:rsidRDefault="00611FD2" w:rsidP="009F65C0">
            <w:pPr>
              <w:snapToGrid w:val="0"/>
              <w:jc w:val="both"/>
              <w:rPr>
                <w:i/>
                <w:iCs/>
                <w:sz w:val="22"/>
                <w:szCs w:val="22"/>
                <w:shd w:val="clear" w:color="auto" w:fill="FFFFFF"/>
              </w:rPr>
            </w:pPr>
            <w:r w:rsidRPr="00F118EB">
              <w:rPr>
                <w:i/>
                <w:iCs/>
                <w:sz w:val="22"/>
                <w:szCs w:val="22"/>
              </w:rPr>
              <w:lastRenderedPageBreak/>
              <w:t>“</w:t>
            </w:r>
            <w:r w:rsidR="008F7231" w:rsidRPr="00F118EB">
              <w:rPr>
                <w:i/>
                <w:iCs/>
                <w:sz w:val="22"/>
                <w:szCs w:val="22"/>
              </w:rPr>
              <w:t xml:space="preserve">c) </w:t>
            </w:r>
            <w:r w:rsidR="008F7231" w:rsidRPr="00F118EB">
              <w:rPr>
                <w:i/>
                <w:iCs/>
                <w:sz w:val="22"/>
                <w:szCs w:val="22"/>
                <w:shd w:val="clear" w:color="auto" w:fill="FFFFFF"/>
              </w:rPr>
              <w:t xml:space="preserve">Nhà sản xuất, nhập khẩu có trách nhiệm nộp tiền vào Quỹ Bảo vệ môi trường Việt Nam trong thời hạn </w:t>
            </w:r>
            <w:r w:rsidR="008F7231" w:rsidRPr="00F118EB">
              <w:rPr>
                <w:b/>
                <w:bCs/>
                <w:i/>
                <w:iCs/>
                <w:sz w:val="22"/>
                <w:szCs w:val="22"/>
                <w:shd w:val="clear" w:color="auto" w:fill="FFFFFF"/>
              </w:rPr>
              <w:t>60 ngày làm việc</w:t>
            </w:r>
            <w:r w:rsidR="008F7231" w:rsidRPr="00F118EB">
              <w:rPr>
                <w:i/>
                <w:iCs/>
                <w:sz w:val="22"/>
                <w:szCs w:val="22"/>
                <w:shd w:val="clear" w:color="auto" w:fill="FFFFFF"/>
              </w:rPr>
              <w:t xml:space="preserve"> kể từ ngày nhận được thông báo nộp tiền của Văn phòng EPR Việt Nam</w:t>
            </w:r>
            <w:r w:rsidRPr="00F118EB">
              <w:rPr>
                <w:i/>
                <w:iCs/>
                <w:sz w:val="22"/>
                <w:szCs w:val="22"/>
                <w:shd w:val="clear" w:color="auto" w:fill="FFFFFF"/>
              </w:rPr>
              <w:t>”.</w:t>
            </w:r>
          </w:p>
        </w:tc>
      </w:tr>
      <w:tr w:rsidR="009F65C0" w:rsidRPr="00F118EB" w14:paraId="38508BC2" w14:textId="77777777" w:rsidTr="00E24CCA">
        <w:tc>
          <w:tcPr>
            <w:tcW w:w="715" w:type="dxa"/>
          </w:tcPr>
          <w:p w14:paraId="6BCF23CB" w14:textId="5BE7B0E7" w:rsidR="009F65C0" w:rsidRPr="00F118EB" w:rsidRDefault="00830B39" w:rsidP="00E24CCA">
            <w:pPr>
              <w:snapToGrid w:val="0"/>
              <w:jc w:val="center"/>
              <w:rPr>
                <w:bCs/>
                <w:sz w:val="22"/>
                <w:szCs w:val="22"/>
                <w:lang w:val="en-GB"/>
              </w:rPr>
            </w:pPr>
            <w:r w:rsidRPr="00F118EB">
              <w:rPr>
                <w:bCs/>
                <w:sz w:val="22"/>
                <w:szCs w:val="22"/>
                <w:lang w:val="en-GB"/>
              </w:rPr>
              <w:lastRenderedPageBreak/>
              <w:t>4</w:t>
            </w:r>
          </w:p>
          <w:p w14:paraId="049D0B20" w14:textId="77777777" w:rsidR="009F65C0" w:rsidRPr="00F118EB" w:rsidRDefault="009F65C0" w:rsidP="009F65C0">
            <w:pPr>
              <w:snapToGrid w:val="0"/>
              <w:jc w:val="right"/>
              <w:rPr>
                <w:bCs/>
                <w:sz w:val="22"/>
                <w:szCs w:val="22"/>
                <w:lang w:val="en-GB"/>
              </w:rPr>
            </w:pPr>
          </w:p>
        </w:tc>
        <w:tc>
          <w:tcPr>
            <w:tcW w:w="1259" w:type="dxa"/>
          </w:tcPr>
          <w:p w14:paraId="17C07F27" w14:textId="77777777" w:rsidR="009F65C0" w:rsidRPr="00F118EB" w:rsidRDefault="009F65C0" w:rsidP="009F65C0">
            <w:pPr>
              <w:snapToGrid w:val="0"/>
              <w:jc w:val="center"/>
              <w:rPr>
                <w:b/>
                <w:sz w:val="22"/>
                <w:szCs w:val="22"/>
                <w:lang w:val="en-GB"/>
              </w:rPr>
            </w:pPr>
            <w:r w:rsidRPr="00F118EB">
              <w:rPr>
                <w:b/>
                <w:sz w:val="22"/>
                <w:szCs w:val="22"/>
                <w:lang w:val="en-GB"/>
              </w:rPr>
              <w:t>Điều 91</w:t>
            </w:r>
          </w:p>
        </w:tc>
        <w:tc>
          <w:tcPr>
            <w:tcW w:w="13051" w:type="dxa"/>
            <w:gridSpan w:val="3"/>
          </w:tcPr>
          <w:p w14:paraId="4EDABB4E" w14:textId="77777777" w:rsidR="009F65C0" w:rsidRPr="00F118EB" w:rsidRDefault="009F65C0" w:rsidP="009F65C0">
            <w:pPr>
              <w:snapToGrid w:val="0"/>
              <w:rPr>
                <w:b/>
                <w:sz w:val="22"/>
                <w:szCs w:val="22"/>
              </w:rPr>
            </w:pPr>
            <w:r w:rsidRPr="00F118EB">
              <w:rPr>
                <w:b/>
                <w:sz w:val="22"/>
                <w:szCs w:val="22"/>
              </w:rPr>
              <w:t>Xử lý trường hợp không thực hiện hoặc không thực hiện đầy đủ trách nhiệm tái chế</w:t>
            </w:r>
          </w:p>
        </w:tc>
      </w:tr>
      <w:tr w:rsidR="009F65C0" w:rsidRPr="00F118EB" w14:paraId="6FD4DFC9" w14:textId="77777777" w:rsidTr="00E24CCA">
        <w:tc>
          <w:tcPr>
            <w:tcW w:w="715" w:type="dxa"/>
          </w:tcPr>
          <w:p w14:paraId="050E64F3" w14:textId="77777777" w:rsidR="009F65C0" w:rsidRPr="00F118EB" w:rsidRDefault="009F65C0" w:rsidP="009F65C0">
            <w:pPr>
              <w:snapToGrid w:val="0"/>
              <w:jc w:val="right"/>
              <w:rPr>
                <w:bCs/>
                <w:sz w:val="22"/>
                <w:szCs w:val="22"/>
                <w:lang w:val="en-GB"/>
              </w:rPr>
            </w:pPr>
          </w:p>
        </w:tc>
        <w:tc>
          <w:tcPr>
            <w:tcW w:w="1259" w:type="dxa"/>
          </w:tcPr>
          <w:p w14:paraId="14437F18" w14:textId="77777777" w:rsidR="009F65C0" w:rsidRPr="00F118EB" w:rsidRDefault="009F65C0" w:rsidP="009F65C0">
            <w:pPr>
              <w:snapToGrid w:val="0"/>
              <w:jc w:val="center"/>
              <w:rPr>
                <w:bCs/>
                <w:sz w:val="22"/>
                <w:szCs w:val="22"/>
                <w:lang w:val="en-GB"/>
              </w:rPr>
            </w:pPr>
            <w:r w:rsidRPr="00F118EB">
              <w:rPr>
                <w:bCs/>
                <w:sz w:val="22"/>
                <w:szCs w:val="22"/>
                <w:lang w:val="en-GB"/>
              </w:rPr>
              <w:t>Khoản 1</w:t>
            </w:r>
          </w:p>
        </w:tc>
        <w:tc>
          <w:tcPr>
            <w:tcW w:w="4861" w:type="dxa"/>
          </w:tcPr>
          <w:p w14:paraId="5AB8FAF2" w14:textId="3C6662A7" w:rsidR="009F65C0" w:rsidRPr="00F118EB" w:rsidRDefault="008F7231" w:rsidP="009F65C0">
            <w:pPr>
              <w:shd w:val="clear" w:color="auto" w:fill="FFFFFF"/>
              <w:spacing w:before="120"/>
              <w:jc w:val="both"/>
              <w:rPr>
                <w:bCs/>
                <w:sz w:val="22"/>
                <w:szCs w:val="22"/>
              </w:rPr>
            </w:pPr>
            <w:r w:rsidRPr="00F118EB">
              <w:rPr>
                <w:bCs/>
                <w:sz w:val="22"/>
                <w:szCs w:val="22"/>
              </w:rPr>
              <w:t xml:space="preserve">1. </w:t>
            </w:r>
            <w:r w:rsidR="009F65C0" w:rsidRPr="00F118EB">
              <w:rPr>
                <w:bCs/>
                <w:sz w:val="22"/>
                <w:szCs w:val="22"/>
              </w:rPr>
              <w:t>Nhà sản xuất, nhập khẩu không thực hiện hoặc thực hiện không đầy đủ trách nhiệm tái chế bắt buộc theo kế hoạch tái chế đã đăng ký hoặc trách nhiệm đóng góp tài chính vào Quỹ Bảo vệ môi trường Việt Nam để hỗ trợ tái chế thì ngoài bị xử lý vi phạm hành chính còn bị truy thu số tiền chi ra để tái chế phần tỷ lệ không đạt được, cộng thêm 30% số tiền bị truy thu và tăng 10% số tiền bị truy thu nếu tiếp tục không nộp trong kỳ tiếp theo.</w:t>
            </w:r>
          </w:p>
        </w:tc>
        <w:tc>
          <w:tcPr>
            <w:tcW w:w="4222" w:type="dxa"/>
          </w:tcPr>
          <w:p w14:paraId="3EBDCA5E" w14:textId="77777777" w:rsidR="008F7231" w:rsidRPr="00F118EB" w:rsidRDefault="008F7231" w:rsidP="008F7231">
            <w:pPr>
              <w:snapToGrid w:val="0"/>
              <w:jc w:val="both"/>
              <w:rPr>
                <w:sz w:val="22"/>
                <w:szCs w:val="22"/>
              </w:rPr>
            </w:pPr>
            <w:r w:rsidRPr="00F118EB">
              <w:rPr>
                <w:sz w:val="22"/>
                <w:szCs w:val="22"/>
              </w:rPr>
              <w:t xml:space="preserve">Để khuyến khích các hoạt động tái chế ở Việt Nam, Nghị định nên bổ sung quy định khen thưởng cho các tổ chức, cá nhân đạt tỷ lệ tái chế cao hơn tỷ lệ bắt buộc. </w:t>
            </w:r>
          </w:p>
          <w:p w14:paraId="2D957E8E" w14:textId="77777777" w:rsidR="008F7231" w:rsidRPr="00F118EB" w:rsidRDefault="008F7231" w:rsidP="008F7231">
            <w:pPr>
              <w:snapToGrid w:val="0"/>
              <w:rPr>
                <w:sz w:val="22"/>
                <w:szCs w:val="22"/>
              </w:rPr>
            </w:pPr>
          </w:p>
          <w:p w14:paraId="0580008A" w14:textId="5F3F8969" w:rsidR="008F7231" w:rsidRPr="00F118EB" w:rsidRDefault="008F7231" w:rsidP="008F7231">
            <w:pPr>
              <w:snapToGrid w:val="0"/>
              <w:jc w:val="both"/>
              <w:rPr>
                <w:sz w:val="22"/>
                <w:szCs w:val="22"/>
              </w:rPr>
            </w:pPr>
            <w:r w:rsidRPr="00F118EB">
              <w:rPr>
                <w:sz w:val="22"/>
                <w:szCs w:val="22"/>
              </w:rPr>
              <w:t xml:space="preserve">Nên xem xét lại số tiền truy thu 30% và tăng 10% trong kỳ tiếp theo, vì </w:t>
            </w:r>
            <w:r w:rsidR="0004457F" w:rsidRPr="00F118EB">
              <w:rPr>
                <w:sz w:val="22"/>
                <w:szCs w:val="22"/>
              </w:rPr>
              <w:t xml:space="preserve">điều này không phù hợp với thông lệ quốc tế, </w:t>
            </w:r>
            <w:r w:rsidR="00265A3B" w:rsidRPr="00F118EB">
              <w:rPr>
                <w:sz w:val="22"/>
                <w:szCs w:val="22"/>
              </w:rPr>
              <w:t>không phù hợp với Nghị định về xử lý vi phạm hành chính, Luật quản lý phí, lệ phí, cũng như không có trong Luật BVMT.</w:t>
            </w:r>
            <w:r w:rsidRPr="00F118EB">
              <w:rPr>
                <w:sz w:val="22"/>
                <w:szCs w:val="22"/>
              </w:rPr>
              <w:t xml:space="preserve"> </w:t>
            </w:r>
            <w:r w:rsidR="00265A3B" w:rsidRPr="00F118EB">
              <w:rPr>
                <w:sz w:val="22"/>
                <w:szCs w:val="22"/>
              </w:rPr>
              <w:t>Những vi phạm này cần b</w:t>
            </w:r>
            <w:r w:rsidRPr="00F118EB">
              <w:rPr>
                <w:sz w:val="22"/>
                <w:szCs w:val="22"/>
              </w:rPr>
              <w:t>ị xử phạt vi phạm hành chính</w:t>
            </w:r>
            <w:r w:rsidR="00265A3B" w:rsidRPr="00F118EB">
              <w:rPr>
                <w:sz w:val="22"/>
                <w:szCs w:val="22"/>
              </w:rPr>
              <w:t xml:space="preserve"> và tính lãi suất nộp chậm</w:t>
            </w:r>
            <w:r w:rsidRPr="00F118EB">
              <w:rPr>
                <w:sz w:val="22"/>
                <w:szCs w:val="22"/>
              </w:rPr>
              <w:t xml:space="preserve"> theo quy định hiện hành.</w:t>
            </w:r>
          </w:p>
        </w:tc>
        <w:tc>
          <w:tcPr>
            <w:tcW w:w="3968" w:type="dxa"/>
          </w:tcPr>
          <w:p w14:paraId="1AD8E106" w14:textId="3C9FFB99" w:rsidR="00611FD2" w:rsidRPr="00F118EB" w:rsidRDefault="00611FD2" w:rsidP="008F7231">
            <w:pPr>
              <w:snapToGrid w:val="0"/>
              <w:jc w:val="both"/>
              <w:rPr>
                <w:bCs/>
                <w:sz w:val="22"/>
                <w:szCs w:val="22"/>
              </w:rPr>
            </w:pPr>
            <w:r w:rsidRPr="00F118EB">
              <w:rPr>
                <w:bCs/>
                <w:sz w:val="22"/>
                <w:szCs w:val="22"/>
              </w:rPr>
              <w:t>Đề nghị sửa thành:</w:t>
            </w:r>
          </w:p>
          <w:p w14:paraId="08C173B6" w14:textId="77777777" w:rsidR="00611FD2" w:rsidRPr="00F118EB" w:rsidRDefault="00611FD2" w:rsidP="008F7231">
            <w:pPr>
              <w:snapToGrid w:val="0"/>
              <w:jc w:val="both"/>
              <w:rPr>
                <w:bCs/>
                <w:sz w:val="22"/>
                <w:szCs w:val="22"/>
              </w:rPr>
            </w:pPr>
          </w:p>
          <w:p w14:paraId="3EE4EFEB" w14:textId="6242A181" w:rsidR="00E806B5" w:rsidRPr="00F118EB" w:rsidRDefault="00611FD2" w:rsidP="00611FD2">
            <w:pPr>
              <w:snapToGrid w:val="0"/>
              <w:jc w:val="both"/>
              <w:rPr>
                <w:i/>
                <w:iCs/>
                <w:sz w:val="22"/>
                <w:szCs w:val="22"/>
              </w:rPr>
            </w:pPr>
            <w:r w:rsidRPr="00F118EB">
              <w:rPr>
                <w:bCs/>
                <w:i/>
                <w:iCs/>
                <w:sz w:val="22"/>
                <w:szCs w:val="22"/>
              </w:rPr>
              <w:t>“</w:t>
            </w:r>
            <w:r w:rsidR="008F7231" w:rsidRPr="00F118EB">
              <w:rPr>
                <w:bCs/>
                <w:i/>
                <w:iCs/>
                <w:sz w:val="22"/>
                <w:szCs w:val="22"/>
              </w:rPr>
              <w:t>Nhà sản xuất, nhập khẩu không thực hiện hoặc thực hiện không đầy đủ trách nhiệm tái chế bắt buộc theo kế hoạch tái chế đã đăng ký hoặc trách nhiệm đóng góp tài chính vào Quỹ Bảo vệ môi trường Việt Nam để hỗ trợ tái chế thì bị xử lý vi phạm hành chín</w:t>
            </w:r>
            <w:r w:rsidR="00265A3B" w:rsidRPr="00F118EB">
              <w:rPr>
                <w:bCs/>
                <w:i/>
                <w:iCs/>
                <w:sz w:val="22"/>
                <w:szCs w:val="22"/>
              </w:rPr>
              <w:t>h,</w:t>
            </w:r>
            <w:r w:rsidR="008F7231" w:rsidRPr="00F118EB">
              <w:rPr>
                <w:bCs/>
                <w:i/>
                <w:iCs/>
                <w:sz w:val="22"/>
                <w:szCs w:val="22"/>
              </w:rPr>
              <w:t xml:space="preserve"> truy thu số tiền </w:t>
            </w:r>
            <w:r w:rsidR="00265A3B" w:rsidRPr="00F118EB">
              <w:rPr>
                <w:bCs/>
                <w:i/>
                <w:iCs/>
                <w:sz w:val="22"/>
                <w:szCs w:val="22"/>
              </w:rPr>
              <w:t>còn thiếu và lãi phát sinh do nộp chậm theo quy định hiện hành</w:t>
            </w:r>
            <w:r w:rsidRPr="00F118EB">
              <w:rPr>
                <w:bCs/>
                <w:i/>
                <w:iCs/>
                <w:sz w:val="22"/>
                <w:szCs w:val="22"/>
              </w:rPr>
              <w:t>”.</w:t>
            </w:r>
          </w:p>
        </w:tc>
      </w:tr>
      <w:tr w:rsidR="009F65C0" w:rsidRPr="00F118EB" w14:paraId="21EDA478" w14:textId="77777777" w:rsidTr="00E24CCA">
        <w:tc>
          <w:tcPr>
            <w:tcW w:w="715" w:type="dxa"/>
          </w:tcPr>
          <w:p w14:paraId="549A24EB" w14:textId="77777777" w:rsidR="009F65C0" w:rsidRPr="00F118EB" w:rsidRDefault="009F65C0" w:rsidP="009F65C0">
            <w:pPr>
              <w:snapToGrid w:val="0"/>
              <w:jc w:val="right"/>
              <w:rPr>
                <w:bCs/>
                <w:sz w:val="22"/>
                <w:szCs w:val="22"/>
                <w:lang w:val="en-GB"/>
              </w:rPr>
            </w:pPr>
          </w:p>
        </w:tc>
        <w:tc>
          <w:tcPr>
            <w:tcW w:w="1259" w:type="dxa"/>
          </w:tcPr>
          <w:p w14:paraId="388731CD" w14:textId="35FB4F8D" w:rsidR="009F65C0" w:rsidRPr="00F118EB" w:rsidRDefault="009F65C0" w:rsidP="00243A19">
            <w:pPr>
              <w:snapToGrid w:val="0"/>
              <w:jc w:val="center"/>
              <w:rPr>
                <w:bCs/>
                <w:sz w:val="22"/>
                <w:szCs w:val="22"/>
                <w:lang w:val="en-GB"/>
              </w:rPr>
            </w:pPr>
            <w:r w:rsidRPr="00F118EB">
              <w:rPr>
                <w:iCs/>
                <w:sz w:val="22"/>
                <w:szCs w:val="22"/>
                <w:lang w:val="en-GB"/>
              </w:rPr>
              <w:t>Khoản 2, 3 và 4</w:t>
            </w:r>
          </w:p>
        </w:tc>
        <w:tc>
          <w:tcPr>
            <w:tcW w:w="4861" w:type="dxa"/>
          </w:tcPr>
          <w:p w14:paraId="05D0C8B3" w14:textId="77777777" w:rsidR="00022862" w:rsidRPr="00F118EB" w:rsidRDefault="00022862" w:rsidP="00022862">
            <w:pPr>
              <w:widowControl w:val="0"/>
              <w:rPr>
                <w:sz w:val="22"/>
                <w:szCs w:val="22"/>
              </w:rPr>
            </w:pPr>
            <w:r w:rsidRPr="00F118EB">
              <w:rPr>
                <w:sz w:val="22"/>
                <w:szCs w:val="22"/>
                <w:shd w:val="clear" w:color="auto" w:fill="FFFFFF"/>
              </w:rPr>
              <w:t xml:space="preserve">2. Trong thời hạn 15 ngày kể từ ngày có quyết định xử phạt vi phạm hành chính của cơ quan có thẩm quyền, nhà sản xuất, nhập khẩu bị xử phạt vi phạm hành chính quy định </w:t>
            </w:r>
            <w:r w:rsidRPr="00F118EB">
              <w:rPr>
                <w:sz w:val="22"/>
                <w:szCs w:val="22"/>
              </w:rPr>
              <w:t>tại khoản 1 Điều này c</w:t>
            </w:r>
            <w:r w:rsidRPr="00F118EB">
              <w:rPr>
                <w:sz w:val="22"/>
                <w:szCs w:val="22"/>
                <w:shd w:val="clear" w:color="auto" w:fill="FFFFFF"/>
              </w:rPr>
              <w:t>ó trách nhiệm nộp số tiền truy thu vào Quỹ Bảo vệ môi trường Việt Nam.</w:t>
            </w:r>
          </w:p>
          <w:p w14:paraId="35B020CB" w14:textId="77777777" w:rsidR="00022862" w:rsidRPr="00F118EB" w:rsidRDefault="00022862" w:rsidP="00022862">
            <w:pPr>
              <w:widowControl w:val="0"/>
              <w:rPr>
                <w:sz w:val="22"/>
                <w:szCs w:val="22"/>
              </w:rPr>
            </w:pPr>
            <w:r w:rsidRPr="00F118EB">
              <w:rPr>
                <w:sz w:val="22"/>
                <w:szCs w:val="22"/>
                <w:shd w:val="clear" w:color="auto" w:fill="FFFFFF"/>
              </w:rPr>
              <w:t>3. Trường hợp quá 15 ngày kể từ ngày có quyết định xử phạt vi phạm hành chính của cơ quan có thẩm quyền mà nhà sản xuất, nhập khẩu không nộp số tiền truy thu về Quỹ Bảo vệ môi trường Việt Nam, Văn phòng EPR Việt Nam có văn bản đề nghị cơ quan thuế hoặc cơ quan hải quan xử lý.</w:t>
            </w:r>
          </w:p>
          <w:p w14:paraId="40E6D434" w14:textId="77777777" w:rsidR="00022862" w:rsidRPr="00F118EB" w:rsidRDefault="00022862" w:rsidP="00022862">
            <w:pPr>
              <w:widowControl w:val="0"/>
              <w:rPr>
                <w:sz w:val="22"/>
                <w:szCs w:val="22"/>
              </w:rPr>
            </w:pPr>
            <w:r w:rsidRPr="00F118EB">
              <w:rPr>
                <w:sz w:val="22"/>
                <w:szCs w:val="22"/>
                <w:shd w:val="clear" w:color="auto" w:fill="FFFFFF"/>
              </w:rPr>
              <w:t xml:space="preserve">4. Văn phòng EPR Việt Nam đề nghị cơ quan có thẩm quyền để thanh tra, kiểm tra và xử phạt vi phạm hành chính đối với nhà sản xuất, nhập khẩu quy định </w:t>
            </w:r>
            <w:r w:rsidRPr="00F118EB">
              <w:rPr>
                <w:sz w:val="22"/>
                <w:szCs w:val="22"/>
              </w:rPr>
              <w:t>tại khoản 1 và khoản 2 Điều này.</w:t>
            </w:r>
          </w:p>
          <w:p w14:paraId="358E4490" w14:textId="77777777" w:rsidR="009F65C0" w:rsidRPr="00F118EB" w:rsidRDefault="009F65C0" w:rsidP="009F65C0">
            <w:pPr>
              <w:shd w:val="clear" w:color="auto" w:fill="FFFFFF"/>
              <w:spacing w:before="120"/>
              <w:jc w:val="both"/>
              <w:rPr>
                <w:bCs/>
                <w:sz w:val="22"/>
                <w:szCs w:val="22"/>
              </w:rPr>
            </w:pPr>
          </w:p>
        </w:tc>
        <w:tc>
          <w:tcPr>
            <w:tcW w:w="4222" w:type="dxa"/>
          </w:tcPr>
          <w:p w14:paraId="0F34CA6D" w14:textId="77777777" w:rsidR="00022862" w:rsidRPr="00F118EB" w:rsidRDefault="009F65C0" w:rsidP="004111BA">
            <w:pPr>
              <w:snapToGrid w:val="0"/>
              <w:jc w:val="both"/>
              <w:rPr>
                <w:sz w:val="22"/>
                <w:szCs w:val="22"/>
                <w:shd w:val="clear" w:color="auto" w:fill="FFFFFF"/>
              </w:rPr>
            </w:pPr>
            <w:r w:rsidRPr="00F118EB">
              <w:rPr>
                <w:sz w:val="22"/>
                <w:szCs w:val="22"/>
                <w:shd w:val="clear" w:color="auto" w:fill="FFFFFF"/>
              </w:rPr>
              <w:t>Cần thống nhất là 15 ngày làm việc</w:t>
            </w:r>
            <w:r w:rsidR="00611FD2" w:rsidRPr="00F118EB">
              <w:rPr>
                <w:sz w:val="22"/>
                <w:szCs w:val="22"/>
                <w:shd w:val="clear" w:color="auto" w:fill="FFFFFF"/>
              </w:rPr>
              <w:t xml:space="preserve">, </w:t>
            </w:r>
          </w:p>
          <w:p w14:paraId="64558043" w14:textId="77777777" w:rsidR="00022862" w:rsidRPr="00F118EB" w:rsidRDefault="00022862" w:rsidP="004111BA">
            <w:pPr>
              <w:snapToGrid w:val="0"/>
              <w:jc w:val="both"/>
              <w:rPr>
                <w:sz w:val="22"/>
                <w:szCs w:val="22"/>
                <w:shd w:val="clear" w:color="auto" w:fill="FFFFFF"/>
              </w:rPr>
            </w:pPr>
          </w:p>
          <w:p w14:paraId="40597950" w14:textId="77777777" w:rsidR="00022862" w:rsidRPr="00F118EB" w:rsidRDefault="00022862" w:rsidP="004111BA">
            <w:pPr>
              <w:snapToGrid w:val="0"/>
              <w:jc w:val="both"/>
              <w:rPr>
                <w:sz w:val="22"/>
                <w:szCs w:val="22"/>
                <w:shd w:val="clear" w:color="auto" w:fill="FFFFFF"/>
              </w:rPr>
            </w:pPr>
          </w:p>
          <w:p w14:paraId="7D747B43" w14:textId="77777777" w:rsidR="00022862" w:rsidRPr="00F118EB" w:rsidRDefault="00022862" w:rsidP="004111BA">
            <w:pPr>
              <w:snapToGrid w:val="0"/>
              <w:jc w:val="both"/>
              <w:rPr>
                <w:sz w:val="22"/>
                <w:szCs w:val="22"/>
                <w:shd w:val="clear" w:color="auto" w:fill="FFFFFF"/>
              </w:rPr>
            </w:pPr>
          </w:p>
          <w:p w14:paraId="1F76FB51" w14:textId="77777777" w:rsidR="00022862" w:rsidRPr="00F118EB" w:rsidRDefault="00022862" w:rsidP="004111BA">
            <w:pPr>
              <w:snapToGrid w:val="0"/>
              <w:jc w:val="both"/>
              <w:rPr>
                <w:sz w:val="22"/>
                <w:szCs w:val="22"/>
                <w:shd w:val="clear" w:color="auto" w:fill="FFFFFF"/>
              </w:rPr>
            </w:pPr>
          </w:p>
          <w:p w14:paraId="785F0ACA" w14:textId="77777777" w:rsidR="00022862" w:rsidRPr="00F118EB" w:rsidRDefault="00022862" w:rsidP="004111BA">
            <w:pPr>
              <w:snapToGrid w:val="0"/>
              <w:jc w:val="both"/>
              <w:rPr>
                <w:sz w:val="22"/>
                <w:szCs w:val="22"/>
                <w:shd w:val="clear" w:color="auto" w:fill="FFFFFF"/>
              </w:rPr>
            </w:pPr>
          </w:p>
          <w:p w14:paraId="79614626" w14:textId="77777777" w:rsidR="009F65C0" w:rsidRPr="00F118EB" w:rsidRDefault="009F65C0" w:rsidP="00022862">
            <w:pPr>
              <w:snapToGrid w:val="0"/>
              <w:jc w:val="both"/>
              <w:rPr>
                <w:sz w:val="22"/>
                <w:szCs w:val="22"/>
                <w:lang w:val="en-GB"/>
              </w:rPr>
            </w:pPr>
          </w:p>
          <w:p w14:paraId="017F4337" w14:textId="5A97A085" w:rsidR="00022862" w:rsidRPr="00F118EB" w:rsidRDefault="00022862" w:rsidP="00022862">
            <w:pPr>
              <w:snapToGrid w:val="0"/>
              <w:jc w:val="both"/>
              <w:rPr>
                <w:sz w:val="22"/>
                <w:szCs w:val="22"/>
                <w:shd w:val="clear" w:color="auto" w:fill="FFFFFF"/>
              </w:rPr>
            </w:pPr>
            <w:r w:rsidRPr="00F118EB">
              <w:rPr>
                <w:sz w:val="22"/>
                <w:szCs w:val="22"/>
                <w:shd w:val="clear" w:color="auto" w:fill="FFFFFF"/>
              </w:rPr>
              <w:t xml:space="preserve">Việc </w:t>
            </w:r>
            <w:r w:rsidRPr="00F118EB">
              <w:rPr>
                <w:sz w:val="22"/>
                <w:szCs w:val="22"/>
                <w:shd w:val="clear" w:color="auto" w:fill="FFFFFF"/>
              </w:rPr>
              <w:t xml:space="preserve">đưa sang cơ quan thuế hay hải quan để xử lý vấn đề </w:t>
            </w:r>
            <w:r w:rsidRPr="00F118EB">
              <w:rPr>
                <w:sz w:val="22"/>
                <w:szCs w:val="22"/>
                <w:shd w:val="clear" w:color="auto" w:fill="FFFFFF"/>
              </w:rPr>
              <w:t xml:space="preserve">phí </w:t>
            </w:r>
            <w:r w:rsidRPr="00F118EB">
              <w:rPr>
                <w:sz w:val="22"/>
                <w:szCs w:val="22"/>
                <w:shd w:val="clear" w:color="auto" w:fill="FFFFFF"/>
              </w:rPr>
              <w:t>môi trường</w:t>
            </w:r>
            <w:r w:rsidRPr="00F118EB">
              <w:rPr>
                <w:sz w:val="22"/>
                <w:szCs w:val="22"/>
                <w:shd w:val="clear" w:color="auto" w:fill="FFFFFF"/>
              </w:rPr>
              <w:t xml:space="preserve"> là không phù hợp với chức năng nhiệm vụ của ngành thuế và hải quan, không phù hợp với các quy định pháp luật hiện hành, không có trong Luật BVMT, và không phù hợp với thông lệ quốc tế</w:t>
            </w:r>
            <w:r w:rsidRPr="00F118EB">
              <w:rPr>
                <w:sz w:val="22"/>
                <w:szCs w:val="22"/>
                <w:shd w:val="clear" w:color="auto" w:fill="FFFFFF"/>
              </w:rPr>
              <w:t>.</w:t>
            </w:r>
          </w:p>
          <w:p w14:paraId="5A56D322" w14:textId="77777777" w:rsidR="00022862" w:rsidRPr="00F118EB" w:rsidRDefault="00022862" w:rsidP="00022862">
            <w:pPr>
              <w:snapToGrid w:val="0"/>
              <w:jc w:val="both"/>
              <w:rPr>
                <w:sz w:val="22"/>
                <w:szCs w:val="22"/>
                <w:shd w:val="clear" w:color="auto" w:fill="FFFFFF"/>
              </w:rPr>
            </w:pPr>
          </w:p>
          <w:p w14:paraId="13743091" w14:textId="77777777" w:rsidR="00022862" w:rsidRPr="00F118EB" w:rsidRDefault="00022862" w:rsidP="00022862">
            <w:pPr>
              <w:snapToGrid w:val="0"/>
              <w:jc w:val="both"/>
              <w:rPr>
                <w:sz w:val="22"/>
                <w:szCs w:val="22"/>
                <w:shd w:val="clear" w:color="auto" w:fill="FFFFFF"/>
              </w:rPr>
            </w:pPr>
          </w:p>
          <w:p w14:paraId="6379C7B8" w14:textId="4FEEB3CA" w:rsidR="00022862" w:rsidRPr="00F118EB" w:rsidRDefault="00022862" w:rsidP="00022862">
            <w:pPr>
              <w:snapToGrid w:val="0"/>
              <w:jc w:val="both"/>
              <w:rPr>
                <w:sz w:val="22"/>
                <w:szCs w:val="22"/>
                <w:lang w:val="en-GB"/>
              </w:rPr>
            </w:pPr>
          </w:p>
        </w:tc>
        <w:tc>
          <w:tcPr>
            <w:tcW w:w="3968" w:type="dxa"/>
          </w:tcPr>
          <w:p w14:paraId="702A5FDE" w14:textId="77777777" w:rsidR="009F65C0" w:rsidRPr="00F118EB" w:rsidRDefault="004111BA" w:rsidP="009F65C0">
            <w:pPr>
              <w:snapToGrid w:val="0"/>
              <w:jc w:val="both"/>
              <w:rPr>
                <w:sz w:val="22"/>
                <w:szCs w:val="22"/>
                <w:shd w:val="clear" w:color="auto" w:fill="FFFFFF"/>
              </w:rPr>
            </w:pPr>
            <w:r w:rsidRPr="00F118EB">
              <w:rPr>
                <w:sz w:val="22"/>
                <w:szCs w:val="22"/>
                <w:shd w:val="clear" w:color="auto" w:fill="FFFFFF"/>
              </w:rPr>
              <w:t>Đề nghị sửa thành:</w:t>
            </w:r>
          </w:p>
          <w:p w14:paraId="56BE5B93" w14:textId="2937DCAB" w:rsidR="004111BA" w:rsidRPr="00F118EB" w:rsidRDefault="0062787C" w:rsidP="009F65C0">
            <w:pPr>
              <w:snapToGrid w:val="0"/>
              <w:jc w:val="both"/>
              <w:rPr>
                <w:i/>
                <w:iCs/>
                <w:sz w:val="22"/>
                <w:szCs w:val="22"/>
              </w:rPr>
            </w:pPr>
            <w:r w:rsidRPr="00F118EB">
              <w:rPr>
                <w:i/>
                <w:iCs/>
                <w:sz w:val="22"/>
                <w:szCs w:val="22"/>
              </w:rPr>
              <w:t>“</w:t>
            </w:r>
            <w:r w:rsidR="004111BA" w:rsidRPr="00F118EB">
              <w:rPr>
                <w:i/>
                <w:iCs/>
                <w:sz w:val="22"/>
                <w:szCs w:val="22"/>
              </w:rPr>
              <w:t xml:space="preserve">2.  Trong thời hạn 15 (mười lăm) ngày làm việc, kể từ ngày có quyết định xử phạt vi phạm hành chính của cơ quan có thẩm quyền, nhà sản xuất, nhập khẩu bị xử phạt vi phạm hành chính quy định tại khoản 1 Điều này có trách nhiệm nộp số tiền truy thu vào Quỹ Bảo vệ môi trường Việt Nam. </w:t>
            </w:r>
          </w:p>
          <w:p w14:paraId="5F19662F" w14:textId="77777777" w:rsidR="00022862" w:rsidRPr="00F118EB" w:rsidRDefault="00022862" w:rsidP="009F65C0">
            <w:pPr>
              <w:snapToGrid w:val="0"/>
              <w:jc w:val="both"/>
              <w:rPr>
                <w:i/>
                <w:iCs/>
                <w:sz w:val="22"/>
                <w:szCs w:val="22"/>
              </w:rPr>
            </w:pPr>
          </w:p>
          <w:p w14:paraId="6C6976B1" w14:textId="77777777" w:rsidR="004111BA" w:rsidRPr="00F118EB" w:rsidRDefault="004111BA" w:rsidP="004111BA">
            <w:pPr>
              <w:snapToGrid w:val="0"/>
              <w:jc w:val="both"/>
              <w:rPr>
                <w:i/>
                <w:iCs/>
                <w:sz w:val="22"/>
                <w:szCs w:val="22"/>
              </w:rPr>
            </w:pPr>
            <w:r w:rsidRPr="00F118EB">
              <w:rPr>
                <w:i/>
                <w:iCs/>
                <w:sz w:val="22"/>
                <w:szCs w:val="22"/>
              </w:rPr>
              <w:t xml:space="preserve">3. Trường hợp quá 15 (mười lăm) ngày làm việc, kể từ ngày có quyết định xử phạt vi phạm hành chính của cơ quan có thẩm quyền mà nhà sản xuất, nhập khẩu không nộp số tiền truy thu về Quỹ Bảo vệ môi trường Việt Nam, Văn phòng EPR Việt Nam đề nghị cơ quan có thẩm quyền để thanh tra, kiểm tra và xử phạt vi phạm hành chính đối với nhà sản xuất, nhập </w:t>
            </w:r>
            <w:r w:rsidRPr="00F118EB">
              <w:rPr>
                <w:i/>
                <w:iCs/>
                <w:sz w:val="22"/>
                <w:szCs w:val="22"/>
              </w:rPr>
              <w:lastRenderedPageBreak/>
              <w:t>khẩu quy định tại khoản 1 và khoản 2 Điều này</w:t>
            </w:r>
            <w:r w:rsidR="0062787C" w:rsidRPr="00F118EB">
              <w:rPr>
                <w:i/>
                <w:iCs/>
                <w:sz w:val="22"/>
                <w:szCs w:val="22"/>
              </w:rPr>
              <w:t>”.</w:t>
            </w:r>
          </w:p>
          <w:p w14:paraId="759CF847" w14:textId="4EA1C2BD" w:rsidR="00022862" w:rsidRPr="00F118EB" w:rsidRDefault="00022862" w:rsidP="004111BA">
            <w:pPr>
              <w:snapToGrid w:val="0"/>
              <w:jc w:val="both"/>
              <w:rPr>
                <w:i/>
                <w:iCs/>
                <w:sz w:val="22"/>
                <w:szCs w:val="22"/>
              </w:rPr>
            </w:pPr>
            <w:r w:rsidRPr="00F118EB">
              <w:rPr>
                <w:i/>
                <w:iCs/>
                <w:sz w:val="22"/>
                <w:szCs w:val="22"/>
              </w:rPr>
              <w:t>Bỏ khoản 4</w:t>
            </w:r>
          </w:p>
        </w:tc>
      </w:tr>
      <w:tr w:rsidR="009F65C0" w:rsidRPr="00F118EB" w14:paraId="1C09EAB3" w14:textId="77777777" w:rsidTr="00E24CCA">
        <w:tc>
          <w:tcPr>
            <w:tcW w:w="715" w:type="dxa"/>
          </w:tcPr>
          <w:p w14:paraId="34CB5FFE" w14:textId="10BCA32E" w:rsidR="009F65C0" w:rsidRPr="00F118EB" w:rsidRDefault="00830B39" w:rsidP="009F65C0">
            <w:pPr>
              <w:snapToGrid w:val="0"/>
              <w:jc w:val="right"/>
              <w:rPr>
                <w:bCs/>
                <w:sz w:val="22"/>
                <w:szCs w:val="22"/>
                <w:lang w:val="en-GB"/>
              </w:rPr>
            </w:pPr>
            <w:r w:rsidRPr="00F118EB">
              <w:rPr>
                <w:bCs/>
                <w:sz w:val="22"/>
                <w:szCs w:val="22"/>
                <w:lang w:val="en-GB"/>
              </w:rPr>
              <w:lastRenderedPageBreak/>
              <w:t>5</w:t>
            </w:r>
          </w:p>
          <w:p w14:paraId="792E694A" w14:textId="77777777" w:rsidR="009F65C0" w:rsidRPr="00F118EB" w:rsidRDefault="009F65C0" w:rsidP="009F65C0">
            <w:pPr>
              <w:snapToGrid w:val="0"/>
              <w:jc w:val="right"/>
              <w:rPr>
                <w:bCs/>
                <w:sz w:val="22"/>
                <w:szCs w:val="22"/>
                <w:lang w:val="en-GB"/>
              </w:rPr>
            </w:pPr>
          </w:p>
        </w:tc>
        <w:tc>
          <w:tcPr>
            <w:tcW w:w="1259" w:type="dxa"/>
          </w:tcPr>
          <w:p w14:paraId="048A29CE" w14:textId="77777777" w:rsidR="009F65C0" w:rsidRPr="00F118EB" w:rsidRDefault="009F65C0" w:rsidP="009F65C0">
            <w:pPr>
              <w:snapToGrid w:val="0"/>
              <w:jc w:val="center"/>
              <w:rPr>
                <w:b/>
                <w:sz w:val="22"/>
                <w:szCs w:val="22"/>
                <w:lang w:val="en-GB"/>
              </w:rPr>
            </w:pPr>
            <w:r w:rsidRPr="00F118EB">
              <w:rPr>
                <w:b/>
                <w:sz w:val="22"/>
                <w:szCs w:val="22"/>
                <w:lang w:val="en-GB"/>
              </w:rPr>
              <w:t>Điều 92</w:t>
            </w:r>
          </w:p>
        </w:tc>
        <w:tc>
          <w:tcPr>
            <w:tcW w:w="13051" w:type="dxa"/>
            <w:gridSpan w:val="3"/>
          </w:tcPr>
          <w:p w14:paraId="4372894B" w14:textId="77777777" w:rsidR="009F65C0" w:rsidRPr="00F118EB" w:rsidRDefault="009F65C0" w:rsidP="009F65C0">
            <w:pPr>
              <w:snapToGrid w:val="0"/>
              <w:jc w:val="both"/>
              <w:rPr>
                <w:sz w:val="22"/>
                <w:szCs w:val="22"/>
              </w:rPr>
            </w:pPr>
            <w:r w:rsidRPr="00F118EB">
              <w:rPr>
                <w:b/>
                <w:sz w:val="22"/>
                <w:szCs w:val="22"/>
              </w:rPr>
              <w:t>Hình thức thực hiện trách nhiệm tái chế sản phẩm, bao bì</w:t>
            </w:r>
          </w:p>
        </w:tc>
      </w:tr>
      <w:tr w:rsidR="009F65C0" w:rsidRPr="00F118EB" w14:paraId="0BD7C484" w14:textId="77777777" w:rsidTr="00E24CCA">
        <w:tc>
          <w:tcPr>
            <w:tcW w:w="715" w:type="dxa"/>
          </w:tcPr>
          <w:p w14:paraId="437D9072" w14:textId="77777777" w:rsidR="009F65C0" w:rsidRPr="00F118EB" w:rsidRDefault="009F65C0" w:rsidP="009F65C0">
            <w:pPr>
              <w:snapToGrid w:val="0"/>
              <w:jc w:val="right"/>
              <w:rPr>
                <w:bCs/>
                <w:sz w:val="22"/>
                <w:szCs w:val="22"/>
                <w:lang w:val="en-GB"/>
              </w:rPr>
            </w:pPr>
          </w:p>
        </w:tc>
        <w:tc>
          <w:tcPr>
            <w:tcW w:w="1259" w:type="dxa"/>
          </w:tcPr>
          <w:p w14:paraId="431B40D4" w14:textId="4EE9E92D" w:rsidR="009F65C0" w:rsidRPr="00F118EB" w:rsidRDefault="007C492A" w:rsidP="009F65C0">
            <w:pPr>
              <w:snapToGrid w:val="0"/>
              <w:jc w:val="center"/>
              <w:rPr>
                <w:sz w:val="22"/>
                <w:szCs w:val="22"/>
              </w:rPr>
            </w:pPr>
            <w:r w:rsidRPr="00F118EB">
              <w:rPr>
                <w:sz w:val="22"/>
                <w:szCs w:val="22"/>
              </w:rPr>
              <w:t>Khoản 1</w:t>
            </w:r>
          </w:p>
        </w:tc>
        <w:tc>
          <w:tcPr>
            <w:tcW w:w="4861" w:type="dxa"/>
          </w:tcPr>
          <w:p w14:paraId="0DE865F4" w14:textId="77777777" w:rsidR="00A053BA" w:rsidRPr="00F118EB" w:rsidRDefault="00A053BA" w:rsidP="00A053BA">
            <w:pPr>
              <w:shd w:val="clear" w:color="auto" w:fill="FFFFFF"/>
              <w:spacing w:before="120"/>
              <w:ind w:firstLine="37"/>
              <w:jc w:val="both"/>
              <w:rPr>
                <w:bCs/>
                <w:sz w:val="22"/>
                <w:szCs w:val="22"/>
                <w:lang w:val="en"/>
              </w:rPr>
            </w:pPr>
            <w:r w:rsidRPr="00F118EB">
              <w:rPr>
                <w:bCs/>
                <w:sz w:val="22"/>
                <w:szCs w:val="22"/>
                <w:lang w:val="en"/>
              </w:rPr>
              <w:t>Nhà sản xuất lựa chọn hình thức tổ chức tái chế theo quy định tại điểm a khoản 2 Điều 54 Luật Bảo vệ môi trường có thể thực hiện tái chế bằng một trong các hình thức sau đây:</w:t>
            </w:r>
          </w:p>
          <w:p w14:paraId="1FEC56C2" w14:textId="77777777" w:rsidR="00E24CCA" w:rsidRPr="00F118EB" w:rsidRDefault="00A053BA" w:rsidP="00A053BA">
            <w:pPr>
              <w:shd w:val="clear" w:color="auto" w:fill="FFFFFF"/>
              <w:spacing w:before="120"/>
              <w:ind w:firstLine="37"/>
              <w:jc w:val="both"/>
              <w:rPr>
                <w:bCs/>
                <w:sz w:val="22"/>
                <w:szCs w:val="22"/>
                <w:lang w:val="en"/>
              </w:rPr>
            </w:pPr>
            <w:r w:rsidRPr="00F118EB">
              <w:rPr>
                <w:bCs/>
                <w:sz w:val="22"/>
                <w:szCs w:val="22"/>
                <w:lang w:val="en"/>
              </w:rPr>
              <w:t>a) Tự mình thực hiện tái chế;</w:t>
            </w:r>
          </w:p>
          <w:p w14:paraId="252B70AB" w14:textId="53A2999F" w:rsidR="00A053BA" w:rsidRPr="00F118EB" w:rsidRDefault="00A053BA" w:rsidP="00A053BA">
            <w:pPr>
              <w:shd w:val="clear" w:color="auto" w:fill="FFFFFF"/>
              <w:spacing w:before="120"/>
              <w:ind w:firstLine="37"/>
              <w:jc w:val="both"/>
              <w:rPr>
                <w:bCs/>
                <w:sz w:val="22"/>
                <w:szCs w:val="22"/>
                <w:lang w:val="en"/>
              </w:rPr>
            </w:pPr>
            <w:r w:rsidRPr="00F118EB">
              <w:rPr>
                <w:bCs/>
                <w:sz w:val="22"/>
                <w:szCs w:val="22"/>
                <w:lang w:val="en"/>
              </w:rPr>
              <w:t>b) Thuê đơn vị tái chế để thực hiện tái chế;</w:t>
            </w:r>
          </w:p>
          <w:p w14:paraId="0E8E0CAB" w14:textId="77777777" w:rsidR="00A053BA" w:rsidRPr="00F118EB" w:rsidRDefault="00A053BA" w:rsidP="00A053BA">
            <w:pPr>
              <w:shd w:val="clear" w:color="auto" w:fill="FFFFFF"/>
              <w:spacing w:before="120"/>
              <w:ind w:firstLine="37"/>
              <w:jc w:val="both"/>
              <w:rPr>
                <w:bCs/>
                <w:sz w:val="22"/>
                <w:szCs w:val="22"/>
                <w:lang w:val="en"/>
              </w:rPr>
            </w:pPr>
            <w:r w:rsidRPr="00F118EB">
              <w:rPr>
                <w:bCs/>
                <w:sz w:val="22"/>
                <w:szCs w:val="22"/>
                <w:lang w:val="en"/>
              </w:rPr>
              <w:t>c) Ủy quyền toàn bộ cho bên thứ ba để tổ chức tái chế.</w:t>
            </w:r>
          </w:p>
          <w:p w14:paraId="0792CF93" w14:textId="36AEE2FB" w:rsidR="009F65C0" w:rsidRPr="00F118EB" w:rsidRDefault="009F65C0" w:rsidP="009F65C0">
            <w:pPr>
              <w:snapToGrid w:val="0"/>
              <w:jc w:val="both"/>
              <w:rPr>
                <w:bCs/>
                <w:sz w:val="22"/>
                <w:szCs w:val="22"/>
                <w:lang w:val="en"/>
              </w:rPr>
            </w:pPr>
          </w:p>
        </w:tc>
        <w:tc>
          <w:tcPr>
            <w:tcW w:w="4222" w:type="dxa"/>
          </w:tcPr>
          <w:p w14:paraId="2631E39D" w14:textId="364B3106" w:rsidR="009F65C0" w:rsidRPr="00F118EB" w:rsidRDefault="004111BA" w:rsidP="009F65C0">
            <w:pPr>
              <w:snapToGrid w:val="0"/>
              <w:jc w:val="both"/>
              <w:rPr>
                <w:sz w:val="22"/>
                <w:szCs w:val="22"/>
                <w:lang w:val="vi-VN"/>
              </w:rPr>
            </w:pPr>
            <w:r w:rsidRPr="00F118EB">
              <w:rPr>
                <w:sz w:val="22"/>
                <w:szCs w:val="22"/>
              </w:rPr>
              <w:t xml:space="preserve">Doanh nghiệp muốn thực hiện trách nhiệm tái chế kết hợp cả hai hình thức (tự tổ chức thực hiện và </w:t>
            </w:r>
            <w:r w:rsidR="00C71D1A" w:rsidRPr="00F118EB">
              <w:rPr>
                <w:sz w:val="22"/>
                <w:szCs w:val="22"/>
              </w:rPr>
              <w:t>nộp phí tái chế</w:t>
            </w:r>
            <w:r w:rsidRPr="00F118EB">
              <w:rPr>
                <w:sz w:val="22"/>
                <w:szCs w:val="22"/>
              </w:rPr>
              <w:t xml:space="preserve"> vào Quỹ Bảo vệ môi trường Việt Nam) thì sẽ làm như thế nào? Trường hợp, họ muốn thay đổi cách thực hiện (chuyển từ hình thức tự tổ chức tái chế sang </w:t>
            </w:r>
            <w:r w:rsidR="00C71D1A" w:rsidRPr="00F118EB">
              <w:rPr>
                <w:sz w:val="22"/>
                <w:szCs w:val="22"/>
              </w:rPr>
              <w:t>nộp phí tái chế</w:t>
            </w:r>
            <w:r w:rsidRPr="00F118EB">
              <w:rPr>
                <w:sz w:val="22"/>
                <w:szCs w:val="22"/>
              </w:rPr>
              <w:t xml:space="preserve"> hoặc ngược lại) thì</w:t>
            </w:r>
            <w:r w:rsidR="00885FAE" w:rsidRPr="00F118EB">
              <w:rPr>
                <w:sz w:val="22"/>
                <w:szCs w:val="22"/>
              </w:rPr>
              <w:t xml:space="preserve"> sẽ theo thủ tục, quy trình nào? Đề nghị Ban soạn thảo có hướng dẫn cụ thể hơn trong Dự thảo Nghị định.</w:t>
            </w:r>
          </w:p>
        </w:tc>
        <w:tc>
          <w:tcPr>
            <w:tcW w:w="3968" w:type="dxa"/>
          </w:tcPr>
          <w:p w14:paraId="1B4BC7EE" w14:textId="468DA58C" w:rsidR="007C492A" w:rsidRPr="00F118EB" w:rsidRDefault="007C492A" w:rsidP="007C492A">
            <w:pPr>
              <w:snapToGrid w:val="0"/>
              <w:jc w:val="both"/>
              <w:rPr>
                <w:sz w:val="22"/>
                <w:szCs w:val="22"/>
                <w:lang w:val="vi-VN"/>
              </w:rPr>
            </w:pPr>
            <w:r w:rsidRPr="00F118EB">
              <w:rPr>
                <w:sz w:val="22"/>
                <w:szCs w:val="22"/>
                <w:lang w:val="vi-VN"/>
              </w:rPr>
              <w:t xml:space="preserve">Đề xuất sửa đổi </w:t>
            </w:r>
            <w:r w:rsidR="00885FAE" w:rsidRPr="00F118EB">
              <w:rPr>
                <w:sz w:val="22"/>
                <w:szCs w:val="22"/>
              </w:rPr>
              <w:t xml:space="preserve">Khoản 1, </w:t>
            </w:r>
            <w:r w:rsidRPr="00F118EB">
              <w:rPr>
                <w:sz w:val="22"/>
                <w:szCs w:val="22"/>
                <w:lang w:val="vi-VN"/>
              </w:rPr>
              <w:t xml:space="preserve">Điều 92 theo hướng cho phép nhà sản xuất được lựa chọn nộp 100% </w:t>
            </w:r>
            <w:r w:rsidR="00C71D1A" w:rsidRPr="00F118EB">
              <w:rPr>
                <w:sz w:val="22"/>
                <w:szCs w:val="22"/>
              </w:rPr>
              <w:t>phí tái chế</w:t>
            </w:r>
            <w:r w:rsidRPr="00F118EB">
              <w:rPr>
                <w:sz w:val="22"/>
                <w:szCs w:val="22"/>
                <w:lang w:val="vi-VN"/>
              </w:rPr>
              <w:t xml:space="preserve"> hoặc nộp một phần và thực hiện trách nhiệm tái chế với phần còn lại. Đồng thời hướng dẫn rõ trong trường hợp nhà sản xuất đang thực hiện 1 hình thức dang dở mà muốn</w:t>
            </w:r>
            <w:r w:rsidR="00885FAE" w:rsidRPr="00F118EB">
              <w:rPr>
                <w:sz w:val="22"/>
                <w:szCs w:val="22"/>
              </w:rPr>
              <w:t xml:space="preserve"> hoặc </w:t>
            </w:r>
            <w:r w:rsidRPr="00F118EB">
              <w:rPr>
                <w:sz w:val="22"/>
                <w:szCs w:val="22"/>
                <w:lang w:val="vi-VN"/>
              </w:rPr>
              <w:t xml:space="preserve">phải chuyển qua hình thức khác hoặc kết hợp nhiều hình thức thì xử lí </w:t>
            </w:r>
            <w:r w:rsidR="00885FAE" w:rsidRPr="00F118EB">
              <w:rPr>
                <w:sz w:val="22"/>
                <w:szCs w:val="22"/>
              </w:rPr>
              <w:t>ra sao?</w:t>
            </w:r>
            <w:r w:rsidRPr="00F118EB">
              <w:rPr>
                <w:sz w:val="22"/>
                <w:szCs w:val="22"/>
                <w:lang w:val="vi-VN"/>
              </w:rPr>
              <w:t xml:space="preserve"> </w:t>
            </w:r>
          </w:p>
          <w:p w14:paraId="62F5D420" w14:textId="5209DE71" w:rsidR="009F65C0" w:rsidRPr="00F118EB" w:rsidRDefault="009F65C0" w:rsidP="009F65C0">
            <w:pPr>
              <w:jc w:val="both"/>
              <w:rPr>
                <w:sz w:val="22"/>
                <w:szCs w:val="22"/>
                <w:lang w:val="vi-VN"/>
              </w:rPr>
            </w:pPr>
          </w:p>
        </w:tc>
      </w:tr>
      <w:tr w:rsidR="00FD16C1" w:rsidRPr="00F118EB" w14:paraId="6D46858F" w14:textId="77777777" w:rsidTr="00E24CCA">
        <w:tc>
          <w:tcPr>
            <w:tcW w:w="715" w:type="dxa"/>
          </w:tcPr>
          <w:p w14:paraId="31DCF4BF" w14:textId="77777777" w:rsidR="00FD16C1" w:rsidRPr="00F118EB" w:rsidRDefault="00FD16C1" w:rsidP="00FD16C1">
            <w:pPr>
              <w:snapToGrid w:val="0"/>
              <w:jc w:val="right"/>
              <w:rPr>
                <w:bCs/>
                <w:sz w:val="22"/>
                <w:szCs w:val="22"/>
                <w:lang w:val="vi-VN"/>
              </w:rPr>
            </w:pPr>
          </w:p>
        </w:tc>
        <w:tc>
          <w:tcPr>
            <w:tcW w:w="1259" w:type="dxa"/>
          </w:tcPr>
          <w:p w14:paraId="04A61E94" w14:textId="675476A3" w:rsidR="00FD16C1" w:rsidRPr="00F118EB" w:rsidRDefault="00FD16C1" w:rsidP="00FD16C1">
            <w:pPr>
              <w:snapToGrid w:val="0"/>
              <w:jc w:val="center"/>
              <w:rPr>
                <w:iCs/>
                <w:sz w:val="22"/>
                <w:szCs w:val="22"/>
                <w:lang w:val="en-GB"/>
              </w:rPr>
            </w:pPr>
            <w:r w:rsidRPr="00F118EB">
              <w:rPr>
                <w:iCs/>
                <w:sz w:val="22"/>
                <w:szCs w:val="22"/>
                <w:lang w:val="en-GB"/>
              </w:rPr>
              <w:t>Khoản 3</w:t>
            </w:r>
          </w:p>
        </w:tc>
        <w:tc>
          <w:tcPr>
            <w:tcW w:w="4861" w:type="dxa"/>
          </w:tcPr>
          <w:p w14:paraId="73EFC969" w14:textId="2E584008" w:rsidR="00FD16C1" w:rsidRPr="00F118EB" w:rsidRDefault="00FD16C1" w:rsidP="00FD16C1">
            <w:pPr>
              <w:snapToGrid w:val="0"/>
              <w:jc w:val="both"/>
              <w:rPr>
                <w:sz w:val="22"/>
                <w:szCs w:val="22"/>
                <w:shd w:val="clear" w:color="auto" w:fill="FFFFFF"/>
              </w:rPr>
            </w:pPr>
            <w:r w:rsidRPr="00F118EB">
              <w:rPr>
                <w:sz w:val="22"/>
                <w:szCs w:val="22"/>
                <w:shd w:val="clear" w:color="auto" w:fill="FFFFFF"/>
              </w:rPr>
              <w:t>Nhà nhập khẩu chỉ được lựa chọn đóng góp tài chính vào Quỹ Bảo vệ môi trường Việt Nam theo quy định tại khoản 2 Điều này hoặc ký kết hợp đồng với đơn vị tái chế hoặc ủy quyền cho bên thứ ba để tổ chức tái chế theo quy định tại điểm b và điểm c khoản 1 Điều này</w:t>
            </w:r>
          </w:p>
        </w:tc>
        <w:tc>
          <w:tcPr>
            <w:tcW w:w="4222" w:type="dxa"/>
          </w:tcPr>
          <w:p w14:paraId="628EEB3E" w14:textId="56B0BA84" w:rsidR="00FD16C1" w:rsidRPr="00F118EB" w:rsidRDefault="00FD16C1" w:rsidP="00FD16C1">
            <w:pPr>
              <w:snapToGrid w:val="0"/>
              <w:jc w:val="both"/>
              <w:rPr>
                <w:sz w:val="22"/>
                <w:szCs w:val="22"/>
                <w:shd w:val="clear" w:color="auto" w:fill="FFFFFF"/>
              </w:rPr>
            </w:pPr>
            <w:r w:rsidRPr="00F118EB">
              <w:rPr>
                <w:sz w:val="22"/>
                <w:szCs w:val="22"/>
                <w:shd w:val="clear" w:color="auto" w:fill="FFFFFF"/>
              </w:rPr>
              <w:t xml:space="preserve">Tạo ra sự phân biệt đối xử giữa nhà sản xuất và nhà nhập khẩu. </w:t>
            </w:r>
          </w:p>
          <w:p w14:paraId="785E1F7E" w14:textId="77777777" w:rsidR="0031105A" w:rsidRPr="00F118EB" w:rsidRDefault="0031105A" w:rsidP="00FD16C1">
            <w:pPr>
              <w:snapToGrid w:val="0"/>
              <w:jc w:val="both"/>
              <w:rPr>
                <w:sz w:val="22"/>
                <w:szCs w:val="22"/>
                <w:shd w:val="clear" w:color="auto" w:fill="FFFFFF"/>
              </w:rPr>
            </w:pPr>
          </w:p>
          <w:p w14:paraId="4DEB2ECA" w14:textId="17BEDF9D" w:rsidR="0031105A" w:rsidRPr="00F118EB" w:rsidRDefault="00C71D1A" w:rsidP="0031105A">
            <w:pPr>
              <w:snapToGrid w:val="0"/>
              <w:jc w:val="both"/>
              <w:rPr>
                <w:sz w:val="22"/>
                <w:szCs w:val="22"/>
                <w:lang w:val="vi-VN"/>
              </w:rPr>
            </w:pPr>
            <w:r w:rsidRPr="00F118EB">
              <w:rPr>
                <w:sz w:val="22"/>
                <w:szCs w:val="22"/>
              </w:rPr>
              <w:t>T</w:t>
            </w:r>
            <w:r w:rsidR="0031105A" w:rsidRPr="00F118EB">
              <w:rPr>
                <w:sz w:val="22"/>
                <w:szCs w:val="22"/>
                <w:lang w:val="vi-VN"/>
              </w:rPr>
              <w:t xml:space="preserve">rường hợp nhà nhập khẩu có đủ điều kiện và năng lực tái chế thì có được tự thực hiện tái chế thay vì lựa chọn một trong các hình thức </w:t>
            </w:r>
            <w:r w:rsidRPr="00F118EB">
              <w:rPr>
                <w:sz w:val="22"/>
                <w:szCs w:val="22"/>
              </w:rPr>
              <w:t xml:space="preserve">này </w:t>
            </w:r>
            <w:r w:rsidR="0031105A" w:rsidRPr="00F118EB">
              <w:rPr>
                <w:sz w:val="22"/>
                <w:szCs w:val="22"/>
                <w:lang w:val="vi-VN"/>
              </w:rPr>
              <w:t>hay không</w:t>
            </w:r>
            <w:r w:rsidR="00845FDB" w:rsidRPr="00F118EB">
              <w:rPr>
                <w:sz w:val="22"/>
                <w:szCs w:val="22"/>
                <w:lang w:val="vi-VN"/>
              </w:rPr>
              <w:t>.</w:t>
            </w:r>
            <w:r w:rsidR="0031105A" w:rsidRPr="00F118EB">
              <w:rPr>
                <w:sz w:val="22"/>
                <w:szCs w:val="22"/>
                <w:lang w:val="vi-VN"/>
              </w:rPr>
              <w:t xml:space="preserve"> </w:t>
            </w:r>
          </w:p>
          <w:p w14:paraId="510EC372" w14:textId="1FE391D3" w:rsidR="0031105A" w:rsidRPr="00F118EB" w:rsidRDefault="0031105A" w:rsidP="00FD16C1">
            <w:pPr>
              <w:snapToGrid w:val="0"/>
              <w:jc w:val="both"/>
              <w:rPr>
                <w:sz w:val="22"/>
                <w:szCs w:val="22"/>
                <w:shd w:val="clear" w:color="auto" w:fill="FFFFFF"/>
                <w:lang w:val="vi-VN"/>
              </w:rPr>
            </w:pPr>
          </w:p>
        </w:tc>
        <w:tc>
          <w:tcPr>
            <w:tcW w:w="3968" w:type="dxa"/>
          </w:tcPr>
          <w:p w14:paraId="3E6CC175" w14:textId="406F0F1B" w:rsidR="00E22884" w:rsidRPr="00F118EB" w:rsidRDefault="00885FAE" w:rsidP="00885FAE">
            <w:pPr>
              <w:jc w:val="both"/>
              <w:rPr>
                <w:sz w:val="22"/>
                <w:szCs w:val="22"/>
                <w:shd w:val="clear" w:color="auto" w:fill="FFFFFF"/>
              </w:rPr>
            </w:pPr>
            <w:r w:rsidRPr="00F118EB">
              <w:rPr>
                <w:sz w:val="22"/>
                <w:szCs w:val="22"/>
                <w:shd w:val="clear" w:color="auto" w:fill="FFFFFF"/>
              </w:rPr>
              <w:t xml:space="preserve">Đề nghị bỏ khoản này hoặc sửa khoản 1 để </w:t>
            </w:r>
            <w:r w:rsidR="00FD16C1" w:rsidRPr="00F118EB">
              <w:rPr>
                <w:sz w:val="22"/>
                <w:szCs w:val="22"/>
                <w:shd w:val="clear" w:color="auto" w:fill="FFFFFF"/>
              </w:rPr>
              <w:t>áp dụng chung cho cả nhà sản xuất và nhà nhập khẩu</w:t>
            </w:r>
            <w:r w:rsidR="00BD72F7" w:rsidRPr="00F118EB">
              <w:rPr>
                <w:sz w:val="22"/>
                <w:szCs w:val="22"/>
                <w:shd w:val="clear" w:color="auto" w:fill="FFFFFF"/>
              </w:rPr>
              <w:t>.</w:t>
            </w:r>
          </w:p>
        </w:tc>
      </w:tr>
      <w:tr w:rsidR="00FD16C1" w:rsidRPr="00F118EB" w14:paraId="03479CDA" w14:textId="77777777" w:rsidTr="00E24CCA">
        <w:tc>
          <w:tcPr>
            <w:tcW w:w="715" w:type="dxa"/>
          </w:tcPr>
          <w:p w14:paraId="6F9ABD37" w14:textId="77777777" w:rsidR="00FD16C1" w:rsidRPr="00F118EB" w:rsidRDefault="00FD16C1" w:rsidP="00FD16C1">
            <w:pPr>
              <w:snapToGrid w:val="0"/>
              <w:jc w:val="right"/>
              <w:rPr>
                <w:bCs/>
                <w:sz w:val="22"/>
                <w:szCs w:val="22"/>
                <w:lang w:val="en-GB"/>
              </w:rPr>
            </w:pPr>
          </w:p>
        </w:tc>
        <w:tc>
          <w:tcPr>
            <w:tcW w:w="1259" w:type="dxa"/>
          </w:tcPr>
          <w:p w14:paraId="1E59C8D7" w14:textId="77777777" w:rsidR="00FD16C1" w:rsidRPr="00F118EB" w:rsidRDefault="00FD16C1" w:rsidP="00FD16C1">
            <w:pPr>
              <w:snapToGrid w:val="0"/>
              <w:jc w:val="center"/>
              <w:rPr>
                <w:sz w:val="22"/>
                <w:szCs w:val="22"/>
              </w:rPr>
            </w:pPr>
            <w:r w:rsidRPr="00F118EB">
              <w:rPr>
                <w:sz w:val="22"/>
                <w:szCs w:val="22"/>
              </w:rPr>
              <w:t>Khoản 5</w:t>
            </w:r>
          </w:p>
        </w:tc>
        <w:tc>
          <w:tcPr>
            <w:tcW w:w="4861" w:type="dxa"/>
          </w:tcPr>
          <w:p w14:paraId="757A9C45" w14:textId="77777777" w:rsidR="00FD16C1" w:rsidRPr="00F118EB" w:rsidRDefault="00FD16C1" w:rsidP="00FD16C1">
            <w:pPr>
              <w:snapToGrid w:val="0"/>
              <w:jc w:val="both"/>
              <w:rPr>
                <w:bCs/>
                <w:sz w:val="22"/>
                <w:szCs w:val="22"/>
              </w:rPr>
            </w:pPr>
            <w:r w:rsidRPr="00F118EB">
              <w:rPr>
                <w:bCs/>
                <w:sz w:val="22"/>
                <w:szCs w:val="22"/>
              </w:rPr>
              <w:t>Biên lai thu tiền của Quỹ Bảo vệ môi trường Việt Nam hoặc hợp đồng ký với tổ chức, đơn vị quy định tại điểm b và điểm c khoản 1 Điều này là căn cứ để cơ quan hải quan cho thông quan lô hàng sản phẩm, bao bì nhập khẩu; không thông quan sản phẩm, bao bì khi nhà nhập khẩu chưa nộp tiền vào Quỹ Bảo vệ môi trường Việt Nam hoặc chưa ký kết hợp đồng với tổ chức, đơn vị quy định tại điểm b và điểm c khoản 1 Điều này.</w:t>
            </w:r>
          </w:p>
        </w:tc>
        <w:tc>
          <w:tcPr>
            <w:tcW w:w="4222" w:type="dxa"/>
          </w:tcPr>
          <w:p w14:paraId="0FA07ADB" w14:textId="1F04F49B" w:rsidR="00022862" w:rsidRPr="00F118EB" w:rsidRDefault="00022862" w:rsidP="00022862">
            <w:pPr>
              <w:snapToGrid w:val="0"/>
              <w:jc w:val="both"/>
              <w:rPr>
                <w:sz w:val="22"/>
                <w:szCs w:val="22"/>
                <w:shd w:val="clear" w:color="auto" w:fill="FFFFFF"/>
              </w:rPr>
            </w:pPr>
            <w:r w:rsidRPr="00F118EB">
              <w:rPr>
                <w:sz w:val="22"/>
                <w:szCs w:val="22"/>
                <w:shd w:val="clear" w:color="auto" w:fill="FFFFFF"/>
              </w:rPr>
              <w:t xml:space="preserve">Yêu cầu phải có biên lai thu tiền của Quỹ để làm thủ tục hải quan là </w:t>
            </w:r>
            <w:r w:rsidR="00C71D1A" w:rsidRPr="00F118EB">
              <w:rPr>
                <w:sz w:val="22"/>
                <w:szCs w:val="22"/>
                <w:shd w:val="clear" w:color="auto" w:fill="FFFFFF"/>
              </w:rPr>
              <w:t>trái với Luật Ngoại thương,</w:t>
            </w:r>
            <w:r w:rsidRPr="00F118EB">
              <w:rPr>
                <w:sz w:val="22"/>
                <w:szCs w:val="22"/>
                <w:shd w:val="clear" w:color="auto" w:fill="FFFFFF"/>
              </w:rPr>
              <w:t xml:space="preserve"> các Nghị định về XNK hàng hóa</w:t>
            </w:r>
            <w:r w:rsidR="00C71D1A" w:rsidRPr="00F118EB">
              <w:rPr>
                <w:sz w:val="22"/>
                <w:szCs w:val="22"/>
                <w:shd w:val="clear" w:color="auto" w:fill="FFFFFF"/>
              </w:rPr>
              <w:t>, tạo rào cản thương mại bất hợp lý.</w:t>
            </w:r>
          </w:p>
          <w:p w14:paraId="7BC9FDCC" w14:textId="7BA76F95" w:rsidR="00FD16C1" w:rsidRPr="00F118EB" w:rsidRDefault="00022862" w:rsidP="00022862">
            <w:pPr>
              <w:snapToGrid w:val="0"/>
              <w:jc w:val="both"/>
              <w:rPr>
                <w:sz w:val="22"/>
                <w:szCs w:val="22"/>
                <w:shd w:val="clear" w:color="auto" w:fill="FFFFFF"/>
              </w:rPr>
            </w:pPr>
            <w:r w:rsidRPr="00F118EB">
              <w:rPr>
                <w:sz w:val="22"/>
                <w:szCs w:val="22"/>
                <w:shd w:val="clear" w:color="auto" w:fill="FFFFFF"/>
              </w:rPr>
              <w:t>Việc</w:t>
            </w:r>
            <w:r w:rsidRPr="00F118EB">
              <w:rPr>
                <w:sz w:val="22"/>
                <w:szCs w:val="22"/>
                <w:shd w:val="clear" w:color="auto" w:fill="FFFFFF"/>
              </w:rPr>
              <w:t xml:space="preserve"> đưa sang cơ quan hải quan để xử lý vấn đề phí môi trường là không phù hợp với chức năng nhiệm vụ của ngành hải quan, không phù hợp với các quy định pháp luật hiện hành, không có trong Luật BVMT, và không phù hợp với thông lệ quốc tế.</w:t>
            </w:r>
          </w:p>
        </w:tc>
        <w:tc>
          <w:tcPr>
            <w:tcW w:w="3968" w:type="dxa"/>
          </w:tcPr>
          <w:p w14:paraId="0F1A6955" w14:textId="48456F2C" w:rsidR="00885FAE" w:rsidRPr="00F118EB" w:rsidRDefault="00022862" w:rsidP="00FD16C1">
            <w:pPr>
              <w:jc w:val="both"/>
              <w:rPr>
                <w:sz w:val="22"/>
                <w:szCs w:val="22"/>
              </w:rPr>
            </w:pPr>
            <w:r w:rsidRPr="00F118EB">
              <w:rPr>
                <w:sz w:val="22"/>
                <w:szCs w:val="22"/>
              </w:rPr>
              <w:t>Yêu cầu bãi bỏ khoản này.</w:t>
            </w:r>
          </w:p>
        </w:tc>
      </w:tr>
      <w:tr w:rsidR="00E648E0" w:rsidRPr="00F118EB" w14:paraId="3C779D3C" w14:textId="77777777" w:rsidTr="00E24CCA">
        <w:trPr>
          <w:trHeight w:val="2963"/>
        </w:trPr>
        <w:tc>
          <w:tcPr>
            <w:tcW w:w="715" w:type="dxa"/>
          </w:tcPr>
          <w:p w14:paraId="4B077EBF" w14:textId="70A0FBAC" w:rsidR="00E648E0" w:rsidRPr="00F118EB" w:rsidRDefault="004D6315" w:rsidP="00E648E0">
            <w:pPr>
              <w:snapToGrid w:val="0"/>
              <w:jc w:val="right"/>
              <w:rPr>
                <w:sz w:val="22"/>
                <w:szCs w:val="22"/>
              </w:rPr>
            </w:pPr>
            <w:r w:rsidRPr="00F118EB">
              <w:rPr>
                <w:sz w:val="22"/>
                <w:szCs w:val="22"/>
              </w:rPr>
              <w:lastRenderedPageBreak/>
              <w:t>6</w:t>
            </w:r>
          </w:p>
        </w:tc>
        <w:tc>
          <w:tcPr>
            <w:tcW w:w="1259" w:type="dxa"/>
          </w:tcPr>
          <w:p w14:paraId="7996376E" w14:textId="569336F1" w:rsidR="00E648E0" w:rsidRPr="00F118EB" w:rsidRDefault="00E648E0" w:rsidP="00243A19">
            <w:pPr>
              <w:snapToGrid w:val="0"/>
              <w:jc w:val="center"/>
              <w:rPr>
                <w:sz w:val="22"/>
                <w:szCs w:val="22"/>
              </w:rPr>
            </w:pPr>
            <w:r w:rsidRPr="00F118EB">
              <w:rPr>
                <w:b/>
                <w:bCs/>
                <w:sz w:val="22"/>
                <w:szCs w:val="22"/>
                <w:lang w:val="vi-VN"/>
              </w:rPr>
              <w:t>Điều 93</w:t>
            </w:r>
            <w:r w:rsidR="003534C3" w:rsidRPr="00F118EB">
              <w:rPr>
                <w:sz w:val="22"/>
                <w:szCs w:val="22"/>
              </w:rPr>
              <w:t xml:space="preserve"> Khoản </w:t>
            </w:r>
            <w:r w:rsidRPr="00F118EB">
              <w:rPr>
                <w:sz w:val="22"/>
                <w:szCs w:val="22"/>
                <w:lang w:val="vi-VN"/>
              </w:rPr>
              <w:t>3</w:t>
            </w:r>
            <w:r w:rsidRPr="00F118EB">
              <w:rPr>
                <w:sz w:val="22"/>
                <w:szCs w:val="22"/>
              </w:rPr>
              <w:t>(c)</w:t>
            </w:r>
          </w:p>
        </w:tc>
        <w:tc>
          <w:tcPr>
            <w:tcW w:w="4861" w:type="dxa"/>
          </w:tcPr>
          <w:p w14:paraId="0EC773A0" w14:textId="77777777" w:rsidR="00C71D1A" w:rsidRPr="00F118EB" w:rsidRDefault="00C71D1A" w:rsidP="00C71D1A">
            <w:pPr>
              <w:pStyle w:val="Heading3"/>
              <w:keepNext w:val="0"/>
              <w:widowControl w:val="0"/>
              <w:pBdr>
                <w:top w:val="nil"/>
                <w:left w:val="nil"/>
                <w:bottom w:val="nil"/>
                <w:right w:val="nil"/>
                <w:between w:val="nil"/>
              </w:pBdr>
              <w:rPr>
                <w:rFonts w:ascii="Times New Roman" w:hAnsi="Times New Roman" w:cs="Times New Roman"/>
                <w:color w:val="auto"/>
                <w:sz w:val="22"/>
                <w:szCs w:val="22"/>
              </w:rPr>
            </w:pPr>
            <w:r w:rsidRPr="00F118EB">
              <w:rPr>
                <w:rFonts w:ascii="Times New Roman" w:hAnsi="Times New Roman" w:cs="Times New Roman"/>
                <w:color w:val="auto"/>
                <w:sz w:val="22"/>
                <w:szCs w:val="22"/>
              </w:rPr>
              <w:t>Điều kiện thực hiện trách</w:t>
            </w:r>
            <w:r w:rsidRPr="00F118EB">
              <w:rPr>
                <w:rFonts w:ascii="Times New Roman" w:hAnsi="Times New Roman" w:cs="Times New Roman"/>
                <w:color w:val="auto"/>
                <w:sz w:val="22"/>
                <w:szCs w:val="22"/>
                <w:lang w:val="vi-VN"/>
              </w:rPr>
              <w:t xml:space="preserve"> nhiệm </w:t>
            </w:r>
            <w:r w:rsidRPr="00F118EB">
              <w:rPr>
                <w:rFonts w:ascii="Times New Roman" w:hAnsi="Times New Roman" w:cs="Times New Roman"/>
                <w:color w:val="auto"/>
                <w:sz w:val="22"/>
                <w:szCs w:val="22"/>
              </w:rPr>
              <w:t xml:space="preserve">tái chế </w:t>
            </w:r>
          </w:p>
          <w:p w14:paraId="12D97332" w14:textId="77777777" w:rsidR="00E648E0" w:rsidRPr="00F118EB" w:rsidRDefault="00E648E0" w:rsidP="00E648E0">
            <w:pPr>
              <w:snapToGrid w:val="0"/>
              <w:jc w:val="both"/>
              <w:rPr>
                <w:bCs/>
                <w:sz w:val="22"/>
                <w:szCs w:val="22"/>
                <w:lang w:val="en"/>
              </w:rPr>
            </w:pPr>
            <w:r w:rsidRPr="00F118EB">
              <w:rPr>
                <w:bCs/>
                <w:sz w:val="22"/>
                <w:szCs w:val="22"/>
                <w:lang w:val="en"/>
              </w:rPr>
              <w:t>Bên thứ ba được nhà sản xuất, nhập khẩu ủy quyền tổ chức tái chế quy định tại điểm c khoản 1 Điều 92</w:t>
            </w:r>
            <w:r w:rsidRPr="00F118EB">
              <w:rPr>
                <w:bCs/>
                <w:sz w:val="22"/>
                <w:szCs w:val="22"/>
                <w:lang w:val="vi-VN"/>
              </w:rPr>
              <w:t xml:space="preserve"> Nghị định này </w:t>
            </w:r>
            <w:r w:rsidRPr="00F118EB">
              <w:rPr>
                <w:bCs/>
                <w:sz w:val="22"/>
                <w:szCs w:val="22"/>
                <w:lang w:val="en"/>
              </w:rPr>
              <w:t>phải đáp ứng các điều kiện sau đây:</w:t>
            </w:r>
          </w:p>
          <w:p w14:paraId="3B24FEEF" w14:textId="77777777" w:rsidR="00E648E0" w:rsidRPr="00F118EB" w:rsidRDefault="00E648E0" w:rsidP="00E648E0">
            <w:pPr>
              <w:snapToGrid w:val="0"/>
              <w:jc w:val="both"/>
              <w:rPr>
                <w:bCs/>
                <w:sz w:val="22"/>
                <w:szCs w:val="22"/>
                <w:lang w:val="vi-VN"/>
              </w:rPr>
            </w:pPr>
            <w:r w:rsidRPr="00F118EB">
              <w:rPr>
                <w:bCs/>
                <w:sz w:val="22"/>
                <w:szCs w:val="22"/>
                <w:lang w:val="vi-VN"/>
              </w:rPr>
              <w:t xml:space="preserve">… </w:t>
            </w:r>
          </w:p>
          <w:p w14:paraId="1554F264" w14:textId="77777777" w:rsidR="00E648E0" w:rsidRPr="00F118EB" w:rsidRDefault="00E648E0" w:rsidP="00E648E0">
            <w:pPr>
              <w:snapToGrid w:val="0"/>
              <w:jc w:val="both"/>
              <w:rPr>
                <w:bCs/>
                <w:sz w:val="22"/>
                <w:szCs w:val="22"/>
                <w:lang w:val="vi-VN"/>
              </w:rPr>
            </w:pPr>
            <w:r w:rsidRPr="00F118EB">
              <w:rPr>
                <w:bCs/>
                <w:sz w:val="22"/>
                <w:szCs w:val="22"/>
                <w:lang w:val="en"/>
              </w:rPr>
              <w:t>Không trực tiếp tái chế và không có quan hệ sở hữu với bất kỳ đơn vị tái chế nào liên quan đến phạm vi được ủy quyền</w:t>
            </w:r>
            <w:r w:rsidRPr="00F118EB">
              <w:rPr>
                <w:bCs/>
                <w:sz w:val="22"/>
                <w:szCs w:val="22"/>
                <w:lang w:val="vi-VN"/>
              </w:rPr>
              <w:t xml:space="preserve">. </w:t>
            </w:r>
          </w:p>
          <w:p w14:paraId="76E39874" w14:textId="77777777" w:rsidR="00E648E0" w:rsidRPr="00F118EB" w:rsidRDefault="00E648E0" w:rsidP="00E648E0">
            <w:pPr>
              <w:snapToGrid w:val="0"/>
              <w:jc w:val="both"/>
              <w:rPr>
                <w:bCs/>
                <w:i/>
                <w:iCs/>
                <w:sz w:val="22"/>
                <w:szCs w:val="22"/>
                <w:lang w:val="vi-VN"/>
              </w:rPr>
            </w:pPr>
          </w:p>
        </w:tc>
        <w:tc>
          <w:tcPr>
            <w:tcW w:w="4222" w:type="dxa"/>
          </w:tcPr>
          <w:p w14:paraId="43E0BEBA" w14:textId="77777777" w:rsidR="00C71D1A" w:rsidRPr="00F118EB" w:rsidRDefault="00C71D1A" w:rsidP="00C71D1A">
            <w:pPr>
              <w:snapToGrid w:val="0"/>
              <w:rPr>
                <w:bCs/>
                <w:sz w:val="22"/>
                <w:szCs w:val="22"/>
              </w:rPr>
            </w:pPr>
            <w:r w:rsidRPr="00F118EB">
              <w:rPr>
                <w:bCs/>
                <w:sz w:val="22"/>
                <w:szCs w:val="22"/>
              </w:rPr>
              <w:t xml:space="preserve">Đưa ra một loạt điều kiện kinh doanh và thủ tục cấp phép đối với bên thứ 3 thực hiện tái chế, ngược lại với chủ trương của Chính phủ cắt giảm điều kiện kinh doanh, cắt giảm giấy phép con. </w:t>
            </w:r>
          </w:p>
          <w:p w14:paraId="2001CACD" w14:textId="77777777" w:rsidR="00C71D1A" w:rsidRPr="00F118EB" w:rsidRDefault="00C71D1A" w:rsidP="00C71D1A">
            <w:pPr>
              <w:snapToGrid w:val="0"/>
              <w:rPr>
                <w:bCs/>
                <w:sz w:val="22"/>
                <w:szCs w:val="22"/>
              </w:rPr>
            </w:pPr>
            <w:r w:rsidRPr="00F118EB">
              <w:rPr>
                <w:bCs/>
                <w:sz w:val="22"/>
                <w:szCs w:val="22"/>
              </w:rPr>
              <w:t>Một số điều kiện bất hợp lý như “</w:t>
            </w:r>
            <w:r w:rsidRPr="00F118EB">
              <w:rPr>
                <w:sz w:val="22"/>
                <w:szCs w:val="22"/>
                <w:shd w:val="clear" w:color="auto" w:fill="FFFFFF"/>
              </w:rPr>
              <w:t xml:space="preserve"> phải được ít nhất 10 nhà sản xuất, nhập khẩu ủy quyền”, “hoạt động phi lợi nhuận”…</w:t>
            </w:r>
          </w:p>
          <w:p w14:paraId="145C87D7" w14:textId="7FCDDD28" w:rsidR="00885FAE" w:rsidRPr="00F118EB" w:rsidRDefault="00C71D1A" w:rsidP="00C71D1A">
            <w:pPr>
              <w:snapToGrid w:val="0"/>
              <w:jc w:val="both"/>
              <w:rPr>
                <w:sz w:val="22"/>
                <w:szCs w:val="22"/>
                <w:lang w:val="vi-VN"/>
              </w:rPr>
            </w:pPr>
            <w:r w:rsidRPr="00F118EB">
              <w:rPr>
                <w:bCs/>
                <w:sz w:val="22"/>
                <w:szCs w:val="22"/>
              </w:rPr>
              <w:t>Không có quy định về công bố các bên thứ 3 tái chế đủ điều kiện để các DN lựa chọn</w:t>
            </w:r>
          </w:p>
        </w:tc>
        <w:tc>
          <w:tcPr>
            <w:tcW w:w="3968" w:type="dxa"/>
          </w:tcPr>
          <w:p w14:paraId="2A3488FA" w14:textId="10FD988A" w:rsidR="005F791B" w:rsidRPr="00F118EB" w:rsidRDefault="00C71D1A" w:rsidP="00E648E0">
            <w:pPr>
              <w:jc w:val="both"/>
              <w:rPr>
                <w:sz w:val="22"/>
                <w:szCs w:val="22"/>
                <w:lang w:val="vi-VN"/>
              </w:rPr>
            </w:pPr>
            <w:r w:rsidRPr="00F118EB">
              <w:rPr>
                <w:sz w:val="22"/>
                <w:szCs w:val="22"/>
              </w:rPr>
              <w:t>Cần đ</w:t>
            </w:r>
            <w:r w:rsidRPr="00F118EB">
              <w:rPr>
                <w:sz w:val="22"/>
                <w:szCs w:val="22"/>
              </w:rPr>
              <w:t>ơn giản hóa điều kiện kinh doanh và thủ tục cấp phép. Bộ T</w:t>
            </w:r>
            <w:r w:rsidRPr="00F118EB">
              <w:rPr>
                <w:sz w:val="22"/>
                <w:szCs w:val="22"/>
              </w:rPr>
              <w:t>N</w:t>
            </w:r>
            <w:r w:rsidRPr="00F118EB">
              <w:rPr>
                <w:sz w:val="22"/>
                <w:szCs w:val="22"/>
              </w:rPr>
              <w:t xml:space="preserve"> MT cung cấp công khai  hàng tháng danh sách các bên thứ 3 đạt yêu cầu để doanh nghiệp lựa chọn</w:t>
            </w:r>
          </w:p>
        </w:tc>
      </w:tr>
      <w:tr w:rsidR="00C71D1A" w:rsidRPr="00F118EB" w14:paraId="4D11E205" w14:textId="77777777" w:rsidTr="00E24CCA">
        <w:tc>
          <w:tcPr>
            <w:tcW w:w="715" w:type="dxa"/>
          </w:tcPr>
          <w:p w14:paraId="6ED7B490" w14:textId="56663327" w:rsidR="00C71D1A" w:rsidRPr="00F118EB" w:rsidRDefault="00C71D1A" w:rsidP="00C71D1A">
            <w:pPr>
              <w:ind w:left="360"/>
              <w:jc w:val="right"/>
              <w:rPr>
                <w:sz w:val="22"/>
                <w:szCs w:val="22"/>
              </w:rPr>
            </w:pPr>
            <w:r w:rsidRPr="00F118EB">
              <w:rPr>
                <w:sz w:val="22"/>
                <w:szCs w:val="22"/>
              </w:rPr>
              <w:t>7</w:t>
            </w:r>
          </w:p>
        </w:tc>
        <w:tc>
          <w:tcPr>
            <w:tcW w:w="1259" w:type="dxa"/>
          </w:tcPr>
          <w:p w14:paraId="6436F092" w14:textId="7FF5B27A" w:rsidR="00C71D1A" w:rsidRPr="00F118EB" w:rsidRDefault="00C71D1A" w:rsidP="00C71D1A">
            <w:pPr>
              <w:jc w:val="center"/>
              <w:rPr>
                <w:bCs/>
                <w:sz w:val="22"/>
                <w:szCs w:val="22"/>
                <w:lang w:val="en-GB"/>
              </w:rPr>
            </w:pPr>
            <w:r w:rsidRPr="00F118EB">
              <w:rPr>
                <w:b/>
                <w:sz w:val="22"/>
                <w:szCs w:val="22"/>
                <w:lang w:val="en-GB"/>
              </w:rPr>
              <w:t>Điều 94</w:t>
            </w:r>
            <w:r w:rsidRPr="00F118EB">
              <w:rPr>
                <w:bCs/>
                <w:sz w:val="22"/>
                <w:szCs w:val="22"/>
                <w:lang w:val="en-GB"/>
              </w:rPr>
              <w:t xml:space="preserve"> Khoản 1, Phụ Lục 61</w:t>
            </w:r>
          </w:p>
        </w:tc>
        <w:tc>
          <w:tcPr>
            <w:tcW w:w="4861" w:type="dxa"/>
          </w:tcPr>
          <w:p w14:paraId="2AB7FF69" w14:textId="77777777" w:rsidR="00C71D1A" w:rsidRPr="00F118EB" w:rsidRDefault="00C71D1A" w:rsidP="00C71D1A">
            <w:pPr>
              <w:spacing w:line="220" w:lineRule="atLeast"/>
              <w:jc w:val="both"/>
              <w:rPr>
                <w:sz w:val="22"/>
                <w:szCs w:val="22"/>
              </w:rPr>
            </w:pPr>
            <w:r w:rsidRPr="00F118EB">
              <w:rPr>
                <w:sz w:val="22"/>
                <w:szCs w:val="22"/>
              </w:rPr>
              <w:t>Nhà sản xuất, nhập khẩu các sản phẩm, bao bì quy định tại Phụ lục 61 ban hành kèm theo Nghị định này để bán trên thị trường Việt Nam có trách nhiệm đóng góp tài chính để hỗ trợ các hoạt động xử lý chất thải.</w:t>
            </w:r>
          </w:p>
          <w:p w14:paraId="6FCE27F9" w14:textId="77777777" w:rsidR="00C71D1A" w:rsidRPr="00F118EB" w:rsidRDefault="00C71D1A" w:rsidP="00C71D1A">
            <w:pPr>
              <w:rPr>
                <w:bCs/>
                <w:iCs/>
                <w:sz w:val="22"/>
                <w:szCs w:val="22"/>
              </w:rPr>
            </w:pPr>
          </w:p>
          <w:p w14:paraId="52E06A93" w14:textId="77777777" w:rsidR="00C71D1A" w:rsidRPr="00F118EB" w:rsidRDefault="00C71D1A" w:rsidP="00C71D1A">
            <w:pPr>
              <w:rPr>
                <w:bCs/>
                <w:iCs/>
                <w:sz w:val="22"/>
                <w:szCs w:val="22"/>
              </w:rPr>
            </w:pPr>
            <w:r w:rsidRPr="00F118EB">
              <w:rPr>
                <w:bCs/>
                <w:iCs/>
                <w:sz w:val="22"/>
                <w:szCs w:val="22"/>
              </w:rPr>
              <w:t>Phụ lục 61, mục 3 – Kẹo cao su</w:t>
            </w:r>
          </w:p>
          <w:p w14:paraId="4BBABB16" w14:textId="77777777" w:rsidR="00C71D1A" w:rsidRPr="00F118EB" w:rsidRDefault="00C71D1A" w:rsidP="00C71D1A">
            <w:pPr>
              <w:rPr>
                <w:sz w:val="22"/>
                <w:szCs w:val="22"/>
                <w:lang w:val="en-GB"/>
              </w:rPr>
            </w:pPr>
            <w:r w:rsidRPr="00F118EB">
              <w:rPr>
                <w:sz w:val="22"/>
                <w:szCs w:val="22"/>
                <w:lang w:val="en-GB"/>
              </w:rPr>
              <w:t>Việc nhai kẹo cao su phải chịu phí xử lý chất thải là 1,8% tổng giá trị lô bán trên thị trường hàng năm theo hệ thống EPR được đề xuất</w:t>
            </w:r>
            <w:r w:rsidRPr="00F118EB">
              <w:rPr>
                <w:sz w:val="22"/>
                <w:szCs w:val="22"/>
                <w:lang w:val="en-GB"/>
              </w:rPr>
              <w:t xml:space="preserve"> </w:t>
            </w:r>
          </w:p>
          <w:p w14:paraId="066571A2" w14:textId="0624C589" w:rsidR="00C71D1A" w:rsidRPr="00F118EB" w:rsidRDefault="00C71D1A" w:rsidP="00C71D1A">
            <w:pPr>
              <w:rPr>
                <w:bCs/>
                <w:iCs/>
                <w:sz w:val="22"/>
                <w:szCs w:val="22"/>
              </w:rPr>
            </w:pPr>
            <w:r w:rsidRPr="00F118EB">
              <w:rPr>
                <w:sz w:val="22"/>
                <w:szCs w:val="22"/>
                <w:lang w:val="en-GB"/>
              </w:rPr>
              <w:t>Mức thu phí này sẽ được đóng vào Quỹ Bảo vệ Môi trường Việt Nam, vốn có nhiệm vụ chính là hỗ trợ vay ưu đãi cho các dự án bảo vệ môi trường.</w:t>
            </w:r>
          </w:p>
        </w:tc>
        <w:tc>
          <w:tcPr>
            <w:tcW w:w="4222" w:type="dxa"/>
          </w:tcPr>
          <w:p w14:paraId="13C4E5EE" w14:textId="77777777" w:rsidR="00C71D1A" w:rsidRPr="00F118EB" w:rsidRDefault="00C71D1A" w:rsidP="00C71D1A">
            <w:pPr>
              <w:snapToGrid w:val="0"/>
              <w:jc w:val="both"/>
              <w:rPr>
                <w:sz w:val="22"/>
                <w:szCs w:val="22"/>
              </w:rPr>
            </w:pPr>
            <w:r w:rsidRPr="00F118EB">
              <w:rPr>
                <w:sz w:val="22"/>
                <w:szCs w:val="22"/>
              </w:rPr>
              <w:t>Bộ Tài nguyên và Môi trường sẽ sử dụng phí này như thế nào?</w:t>
            </w:r>
          </w:p>
          <w:p w14:paraId="7CC4FA5C" w14:textId="35A175C1" w:rsidR="00C71D1A" w:rsidRPr="00F118EB" w:rsidRDefault="00C71D1A" w:rsidP="00C71D1A">
            <w:pPr>
              <w:snapToGrid w:val="0"/>
              <w:jc w:val="both"/>
              <w:rPr>
                <w:sz w:val="22"/>
                <w:szCs w:val="22"/>
                <w:lang w:val="en-GB"/>
              </w:rPr>
            </w:pPr>
            <w:r w:rsidRPr="00F118EB">
              <w:rPr>
                <w:sz w:val="22"/>
                <w:szCs w:val="22"/>
                <w:lang w:val="en-GB"/>
              </w:rPr>
              <w:t>Mức phí này sẽ được phân bổ cho việc xử lý bã kẹo cao su bị thải bỏ không đúng cách ra sao. Hơn nữa, mức phí đóng góp này hiện đang trùng lặp với hoạt động chi hiện tại của ngân sách nhà nước để xử lý rác thải, cũng như trùng lặp với các khoản thu hiện tại của chính quyền địa phương từ người dân cho hoạt động xử lý rác thải sinh hoạt. Với bản chất tương đương như một dạng thuế bảo vệ môi trường đánh trên doanh thu, và thiếu cơ sở, bằng chứng cho vấn đề rác thải kẹo cao su gây ra tại Việt Nam, việc Ban soạn thảo đề xuất mức đóng cho kẹo cao su như vậy là không hợp lý, không minh bạch.</w:t>
            </w:r>
          </w:p>
          <w:p w14:paraId="2BC5A990" w14:textId="77777777" w:rsidR="00C71D1A" w:rsidRPr="00F118EB" w:rsidRDefault="00C71D1A" w:rsidP="00C71D1A">
            <w:pPr>
              <w:snapToGrid w:val="0"/>
              <w:rPr>
                <w:sz w:val="22"/>
                <w:szCs w:val="22"/>
                <w:lang w:val="en-GB"/>
              </w:rPr>
            </w:pPr>
          </w:p>
          <w:p w14:paraId="5906C2D1" w14:textId="2B167C75" w:rsidR="00C71D1A" w:rsidRPr="00F118EB" w:rsidRDefault="00C71D1A" w:rsidP="00C71D1A">
            <w:pPr>
              <w:snapToGrid w:val="0"/>
              <w:jc w:val="both"/>
              <w:rPr>
                <w:sz w:val="22"/>
                <w:szCs w:val="22"/>
              </w:rPr>
            </w:pPr>
            <w:r w:rsidRPr="00F118EB">
              <w:rPr>
                <w:sz w:val="22"/>
                <w:szCs w:val="22"/>
              </w:rPr>
              <w:t>Việc áp dụng mức đóng góp tài chính vào Quỹ Bảo vệ môi trường Việt Nam lên kẹo cao su để hỗ trợ xử lý chất thải không phù hợp bởi những lý do chính sau đây:</w:t>
            </w:r>
          </w:p>
          <w:p w14:paraId="18B165F4" w14:textId="77777777" w:rsidR="00C71D1A" w:rsidRPr="00F118EB" w:rsidRDefault="00C71D1A" w:rsidP="00C71D1A">
            <w:pPr>
              <w:snapToGrid w:val="0"/>
              <w:jc w:val="both"/>
              <w:rPr>
                <w:sz w:val="22"/>
                <w:szCs w:val="22"/>
              </w:rPr>
            </w:pPr>
          </w:p>
          <w:p w14:paraId="736CAD08" w14:textId="622D345E" w:rsidR="00C71D1A" w:rsidRPr="00F118EB" w:rsidRDefault="00C71D1A" w:rsidP="00C71D1A">
            <w:pPr>
              <w:snapToGrid w:val="0"/>
              <w:spacing w:line="220" w:lineRule="atLeast"/>
              <w:jc w:val="both"/>
              <w:rPr>
                <w:sz w:val="22"/>
                <w:szCs w:val="22"/>
              </w:rPr>
            </w:pPr>
            <w:r w:rsidRPr="00F118EB">
              <w:rPr>
                <w:sz w:val="22"/>
                <w:szCs w:val="22"/>
              </w:rPr>
              <w:t>(i) Dự thảo còn thiếu tiêu chí xác định các sản phẩm phải đóng góp tài chính để hỗ trợ xử lý chất thải nói chung, cũng như cơ sở, bằng chứng khoa học về những bất cập do kẹo cao su gây ra đối với môi trường ở Việt Nam.</w:t>
            </w:r>
          </w:p>
          <w:p w14:paraId="331AF604" w14:textId="77777777" w:rsidR="00C71D1A" w:rsidRPr="00F118EB" w:rsidRDefault="00C71D1A" w:rsidP="00C71D1A">
            <w:pPr>
              <w:snapToGrid w:val="0"/>
              <w:spacing w:line="220" w:lineRule="atLeast"/>
              <w:rPr>
                <w:sz w:val="22"/>
                <w:szCs w:val="22"/>
              </w:rPr>
            </w:pPr>
          </w:p>
          <w:p w14:paraId="2B36F555" w14:textId="6EA902D1" w:rsidR="00C71D1A" w:rsidRPr="00F118EB" w:rsidRDefault="00C71D1A" w:rsidP="00C71D1A">
            <w:pPr>
              <w:snapToGrid w:val="0"/>
              <w:spacing w:line="220" w:lineRule="atLeast"/>
              <w:jc w:val="both"/>
              <w:rPr>
                <w:sz w:val="22"/>
                <w:szCs w:val="22"/>
              </w:rPr>
            </w:pPr>
            <w:r w:rsidRPr="00F118EB">
              <w:rPr>
                <w:sz w:val="22"/>
                <w:szCs w:val="22"/>
              </w:rPr>
              <w:t>(ii) Kẹo cao su là sản phẩm thực phẩm đã được khoa học chứng minh có lợi cho sức khỏe, do đó việc đưa kẹo cao su vào danh mục các sản phẩm độc hại, khó tái chế, khó xử lý phải chịu đóng góp tài chính là không phù hợp.</w:t>
            </w:r>
          </w:p>
          <w:p w14:paraId="62A8853D" w14:textId="77777777" w:rsidR="00C71D1A" w:rsidRPr="00F118EB" w:rsidRDefault="00C71D1A" w:rsidP="00C71D1A">
            <w:pPr>
              <w:snapToGrid w:val="0"/>
              <w:spacing w:line="220" w:lineRule="atLeast"/>
              <w:rPr>
                <w:sz w:val="22"/>
                <w:szCs w:val="22"/>
              </w:rPr>
            </w:pPr>
          </w:p>
          <w:p w14:paraId="766E873B" w14:textId="2C4DC83D" w:rsidR="00C71D1A" w:rsidRPr="00F118EB" w:rsidRDefault="00C71D1A" w:rsidP="00C71D1A">
            <w:pPr>
              <w:snapToGrid w:val="0"/>
              <w:spacing w:line="220" w:lineRule="atLeast"/>
              <w:jc w:val="both"/>
              <w:rPr>
                <w:sz w:val="22"/>
                <w:szCs w:val="22"/>
              </w:rPr>
            </w:pPr>
            <w:r w:rsidRPr="00F118EB">
              <w:rPr>
                <w:sz w:val="22"/>
                <w:szCs w:val="22"/>
              </w:rPr>
              <w:t>(iii) Nguyên nhân cốt lõi của việc vứt kẹo cao su không đúng cách là do sự thiếu ý thức của một số người tiêu dùng. Vấn đề này nên được giải quyết triệt để bằng các biện pháp tuyên truyền, giáo dục cộng đồng sẽ hiệu quả hơn biện pháp đóng góp tài chính.</w:t>
            </w:r>
          </w:p>
          <w:p w14:paraId="0946DBF9" w14:textId="77777777" w:rsidR="00C71D1A" w:rsidRPr="00F118EB" w:rsidRDefault="00C71D1A" w:rsidP="00C71D1A">
            <w:pPr>
              <w:snapToGrid w:val="0"/>
              <w:rPr>
                <w:sz w:val="22"/>
                <w:szCs w:val="22"/>
              </w:rPr>
            </w:pPr>
          </w:p>
          <w:p w14:paraId="7E71848B" w14:textId="77777777" w:rsidR="00C71D1A" w:rsidRPr="00F118EB" w:rsidRDefault="00C71D1A" w:rsidP="00C71D1A">
            <w:pPr>
              <w:snapToGrid w:val="0"/>
              <w:rPr>
                <w:sz w:val="22"/>
                <w:szCs w:val="22"/>
              </w:rPr>
            </w:pPr>
            <w:r w:rsidRPr="00F118EB">
              <w:rPr>
                <w:sz w:val="22"/>
                <w:szCs w:val="22"/>
              </w:rPr>
              <w:t>Các lý do cụ thể được trình bày chi tiết trong file đính kèm.</w:t>
            </w:r>
          </w:p>
          <w:bookmarkStart w:id="0" w:name="_MON_1687957844"/>
          <w:bookmarkEnd w:id="0"/>
          <w:p w14:paraId="63F6C553" w14:textId="7929EEDD" w:rsidR="00C71D1A" w:rsidRPr="00F118EB" w:rsidRDefault="00C71D1A" w:rsidP="00C71D1A">
            <w:pPr>
              <w:snapToGrid w:val="0"/>
              <w:rPr>
                <w:sz w:val="22"/>
                <w:szCs w:val="22"/>
              </w:rPr>
            </w:pPr>
            <w:r w:rsidRPr="00F118EB">
              <w:rPr>
                <w:sz w:val="22"/>
                <w:szCs w:val="22"/>
              </w:rPr>
              <w:object w:dxaOrig="1533" w:dyaOrig="990" w14:anchorId="44EDB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11" o:title=""/>
                </v:shape>
                <o:OLEObject Type="Embed" ProgID="Word.Document.12" ShapeID="_x0000_i1031" DrawAspect="Icon" ObjectID="_1689018366" r:id="rId12">
                  <o:FieldCodes>\s</o:FieldCodes>
                </o:OLEObject>
              </w:object>
            </w:r>
            <w:r w:rsidRPr="00F118EB">
              <w:rPr>
                <w:sz w:val="22"/>
                <w:szCs w:val="22"/>
              </w:rPr>
              <w:t xml:space="preserve"> </w:t>
            </w:r>
            <w:bookmarkStart w:id="1" w:name="_MON_1688582282"/>
            <w:bookmarkEnd w:id="1"/>
            <w:r w:rsidRPr="00F118EB">
              <w:rPr>
                <w:sz w:val="22"/>
                <w:szCs w:val="22"/>
              </w:rPr>
              <w:object w:dxaOrig="1533" w:dyaOrig="990" w14:anchorId="58BD9503">
                <v:shape id="_x0000_i1032" type="#_x0000_t75" style="width:76.5pt;height:49.5pt" o:ole="">
                  <v:imagedata r:id="rId13" o:title=""/>
                </v:shape>
                <o:OLEObject Type="Embed" ProgID="Word.Document.12" ShapeID="_x0000_i1032" DrawAspect="Icon" ObjectID="_1689018367" r:id="rId14">
                  <o:FieldCodes>\s</o:FieldCodes>
                </o:OLEObject>
              </w:object>
            </w:r>
          </w:p>
          <w:p w14:paraId="0CFCF2AC" w14:textId="77777777" w:rsidR="00C71D1A" w:rsidRPr="00F118EB" w:rsidRDefault="00C71D1A" w:rsidP="00C71D1A">
            <w:pPr>
              <w:rPr>
                <w:sz w:val="22"/>
                <w:szCs w:val="22"/>
              </w:rPr>
            </w:pPr>
          </w:p>
          <w:p w14:paraId="0BDAE1C3" w14:textId="77777777" w:rsidR="00C71D1A" w:rsidRPr="00F118EB" w:rsidRDefault="00C71D1A" w:rsidP="00C71D1A">
            <w:pPr>
              <w:snapToGrid w:val="0"/>
              <w:jc w:val="both"/>
              <w:rPr>
                <w:sz w:val="22"/>
                <w:szCs w:val="22"/>
                <w:lang w:val="en-GB"/>
              </w:rPr>
            </w:pPr>
            <w:r w:rsidRPr="00F118EB">
              <w:rPr>
                <w:sz w:val="22"/>
                <w:szCs w:val="22"/>
                <w:lang w:val="en-GB"/>
              </w:rPr>
              <w:t>Ngoài ra, ghi nhận từ một số nước Châu Âu, Mỹ:</w:t>
            </w:r>
          </w:p>
          <w:p w14:paraId="775C2537" w14:textId="77777777" w:rsidR="00C71D1A" w:rsidRPr="00F118EB" w:rsidRDefault="00C71D1A" w:rsidP="00C71D1A">
            <w:pPr>
              <w:snapToGrid w:val="0"/>
              <w:rPr>
                <w:sz w:val="22"/>
                <w:szCs w:val="22"/>
                <w:lang w:val="en-GB"/>
              </w:rPr>
            </w:pPr>
          </w:p>
          <w:p w14:paraId="611BA6F6" w14:textId="12A8E6CE" w:rsidR="00C71D1A" w:rsidRPr="00F118EB" w:rsidRDefault="00C71D1A" w:rsidP="00C71D1A">
            <w:pPr>
              <w:snapToGrid w:val="0"/>
              <w:jc w:val="both"/>
              <w:rPr>
                <w:sz w:val="22"/>
                <w:szCs w:val="22"/>
              </w:rPr>
            </w:pPr>
            <w:r w:rsidRPr="00F118EB">
              <w:rPr>
                <w:sz w:val="22"/>
                <w:szCs w:val="22"/>
              </w:rPr>
              <w:t>(a) Không có quốc gia nào khác trên thế giới áp dụng chính sách EPR đối với kẹo cao su, ngoại trừ Hàn Quốc.</w:t>
            </w:r>
          </w:p>
          <w:p w14:paraId="6B8B0FBA" w14:textId="77777777" w:rsidR="00C71D1A" w:rsidRPr="00F118EB" w:rsidRDefault="00C71D1A" w:rsidP="00C71D1A">
            <w:pPr>
              <w:snapToGrid w:val="0"/>
              <w:jc w:val="both"/>
              <w:rPr>
                <w:sz w:val="22"/>
                <w:szCs w:val="22"/>
              </w:rPr>
            </w:pPr>
          </w:p>
          <w:p w14:paraId="2D36A3F7" w14:textId="2FCBC1A7" w:rsidR="00C71D1A" w:rsidRPr="00F118EB" w:rsidRDefault="00C71D1A" w:rsidP="00C71D1A">
            <w:pPr>
              <w:snapToGrid w:val="0"/>
              <w:jc w:val="both"/>
              <w:rPr>
                <w:sz w:val="22"/>
                <w:szCs w:val="22"/>
              </w:rPr>
            </w:pPr>
            <w:r w:rsidRPr="00F118EB">
              <w:rPr>
                <w:sz w:val="22"/>
                <w:szCs w:val="22"/>
              </w:rPr>
              <w:t>(b) Ở Mỹ, kẹo cao su là một loại thực phẩm và không có một Tiểu bang nào đưa ra chính sách EPR đối với về việc xả bã kẹo cao su.</w:t>
            </w:r>
          </w:p>
          <w:p w14:paraId="4ADEE7EF" w14:textId="77777777" w:rsidR="00C71D1A" w:rsidRPr="00F118EB" w:rsidRDefault="00C71D1A" w:rsidP="00C71D1A">
            <w:pPr>
              <w:snapToGrid w:val="0"/>
              <w:jc w:val="both"/>
              <w:rPr>
                <w:sz w:val="22"/>
                <w:szCs w:val="22"/>
              </w:rPr>
            </w:pPr>
          </w:p>
          <w:p w14:paraId="72600728" w14:textId="77777777" w:rsidR="00C71D1A" w:rsidRPr="00F118EB" w:rsidRDefault="00C71D1A" w:rsidP="00C71D1A">
            <w:pPr>
              <w:snapToGrid w:val="0"/>
              <w:jc w:val="both"/>
              <w:rPr>
                <w:sz w:val="22"/>
                <w:szCs w:val="22"/>
                <w:lang w:eastAsia="nl-NL"/>
              </w:rPr>
            </w:pPr>
            <w:r w:rsidRPr="00F118EB">
              <w:rPr>
                <w:sz w:val="22"/>
                <w:szCs w:val="22"/>
              </w:rPr>
              <w:t>(c) Ở Châu Âu (27 Quốc gia thuộc Liên minh Châu Âu và Nga, Thổ Nhĩ Kỳ, Thụy Sĩ, v.v.) kẹo cao su là thực phẩm và không có quốc gia nào áp dụng chính sách EPR đối với việc xả bã kẹo cao su. Tại Vương quốc Anh, ngành công nghiệp kẹo</w:t>
            </w:r>
            <w:r w:rsidRPr="00F118EB">
              <w:rPr>
                <w:sz w:val="22"/>
                <w:szCs w:val="22"/>
                <w:lang w:eastAsia="nl-NL"/>
              </w:rPr>
              <w:t xml:space="preserve"> cao su đang tự nguyện làm </w:t>
            </w:r>
            <w:r w:rsidRPr="00F118EB">
              <w:rPr>
                <w:sz w:val="22"/>
                <w:szCs w:val="22"/>
                <w:lang w:eastAsia="nl-NL"/>
              </w:rPr>
              <w:lastRenderedPageBreak/>
              <w:t>việc với Bộ Tài nguyên và Môi trường Anh để thúc đẩy việc thải bỏ kẹo cao su đúng cách.</w:t>
            </w:r>
          </w:p>
          <w:p w14:paraId="542922AB" w14:textId="33EEFCAB" w:rsidR="00C71D1A" w:rsidRPr="00F118EB" w:rsidRDefault="00C71D1A" w:rsidP="00C71D1A">
            <w:pPr>
              <w:snapToGrid w:val="0"/>
              <w:jc w:val="both"/>
              <w:rPr>
                <w:sz w:val="22"/>
                <w:szCs w:val="22"/>
                <w:lang w:eastAsia="nl-NL"/>
              </w:rPr>
            </w:pPr>
          </w:p>
        </w:tc>
        <w:tc>
          <w:tcPr>
            <w:tcW w:w="3968" w:type="dxa"/>
          </w:tcPr>
          <w:p w14:paraId="7E05FBDB" w14:textId="77777777" w:rsidR="00C71D1A" w:rsidRPr="00F118EB" w:rsidRDefault="00C71D1A" w:rsidP="00C71D1A">
            <w:pPr>
              <w:snapToGrid w:val="0"/>
              <w:jc w:val="both"/>
              <w:rPr>
                <w:sz w:val="22"/>
                <w:szCs w:val="22"/>
              </w:rPr>
            </w:pPr>
          </w:p>
          <w:p w14:paraId="37AED286" w14:textId="77777777" w:rsidR="00C71D1A" w:rsidRPr="00F118EB" w:rsidRDefault="00C71D1A" w:rsidP="00C71D1A">
            <w:pPr>
              <w:snapToGrid w:val="0"/>
              <w:jc w:val="both"/>
              <w:rPr>
                <w:sz w:val="22"/>
                <w:szCs w:val="22"/>
              </w:rPr>
            </w:pPr>
            <w:r w:rsidRPr="00F118EB">
              <w:rPr>
                <w:sz w:val="22"/>
                <w:szCs w:val="22"/>
              </w:rPr>
              <w:t>Đề nghị loại bỏ mục Kẹo cao su ra khỏi Phụ lục 61.</w:t>
            </w:r>
          </w:p>
          <w:p w14:paraId="48CF202B" w14:textId="77777777" w:rsidR="00C71D1A" w:rsidRPr="00F118EB" w:rsidRDefault="00C71D1A" w:rsidP="00C71D1A">
            <w:pPr>
              <w:snapToGrid w:val="0"/>
              <w:jc w:val="both"/>
              <w:rPr>
                <w:sz w:val="22"/>
                <w:szCs w:val="22"/>
              </w:rPr>
            </w:pPr>
          </w:p>
        </w:tc>
      </w:tr>
      <w:tr w:rsidR="00C71D1A" w:rsidRPr="00F118EB" w14:paraId="6108DDFF" w14:textId="77777777" w:rsidTr="00E24CCA">
        <w:tc>
          <w:tcPr>
            <w:tcW w:w="715" w:type="dxa"/>
          </w:tcPr>
          <w:p w14:paraId="6D5908CC" w14:textId="71065D93" w:rsidR="00C71D1A" w:rsidRPr="00F118EB" w:rsidRDefault="00C71D1A" w:rsidP="00C71D1A">
            <w:pPr>
              <w:snapToGrid w:val="0"/>
              <w:jc w:val="right"/>
              <w:rPr>
                <w:bCs/>
                <w:sz w:val="22"/>
                <w:szCs w:val="22"/>
                <w:lang w:val="en-GB"/>
              </w:rPr>
            </w:pPr>
            <w:r w:rsidRPr="00F118EB">
              <w:rPr>
                <w:bCs/>
                <w:sz w:val="22"/>
                <w:szCs w:val="22"/>
                <w:lang w:val="en-GB"/>
              </w:rPr>
              <w:lastRenderedPageBreak/>
              <w:t>8</w:t>
            </w:r>
          </w:p>
        </w:tc>
        <w:tc>
          <w:tcPr>
            <w:tcW w:w="1259" w:type="dxa"/>
          </w:tcPr>
          <w:p w14:paraId="0BB35D65" w14:textId="77777777" w:rsidR="00C71D1A" w:rsidRPr="00F118EB" w:rsidRDefault="00C71D1A" w:rsidP="00C71D1A">
            <w:pPr>
              <w:snapToGrid w:val="0"/>
              <w:jc w:val="center"/>
              <w:rPr>
                <w:b/>
                <w:bCs/>
                <w:sz w:val="22"/>
                <w:szCs w:val="22"/>
                <w:lang w:val="en-GB"/>
              </w:rPr>
            </w:pPr>
            <w:r w:rsidRPr="00F118EB">
              <w:rPr>
                <w:b/>
                <w:bCs/>
                <w:sz w:val="22"/>
                <w:szCs w:val="22"/>
                <w:lang w:val="en-GB"/>
              </w:rPr>
              <w:t>Điều 97</w:t>
            </w:r>
          </w:p>
          <w:p w14:paraId="7B12A9A7" w14:textId="77777777" w:rsidR="00C71D1A" w:rsidRPr="00F118EB" w:rsidRDefault="00C71D1A" w:rsidP="00C71D1A">
            <w:pPr>
              <w:snapToGrid w:val="0"/>
              <w:jc w:val="center"/>
              <w:rPr>
                <w:sz w:val="22"/>
                <w:szCs w:val="22"/>
                <w:lang w:val="en-GB"/>
              </w:rPr>
            </w:pPr>
            <w:r w:rsidRPr="00F118EB">
              <w:rPr>
                <w:sz w:val="22"/>
                <w:szCs w:val="22"/>
                <w:lang w:val="en-GB"/>
              </w:rPr>
              <w:t>Khoản 1, 2,3</w:t>
            </w:r>
          </w:p>
        </w:tc>
        <w:tc>
          <w:tcPr>
            <w:tcW w:w="4861" w:type="dxa"/>
          </w:tcPr>
          <w:p w14:paraId="16037431" w14:textId="77777777" w:rsidR="00C71D1A" w:rsidRPr="00F118EB" w:rsidRDefault="00C71D1A" w:rsidP="00C71D1A">
            <w:pPr>
              <w:snapToGrid w:val="0"/>
              <w:jc w:val="both"/>
              <w:rPr>
                <w:b/>
                <w:bCs/>
                <w:sz w:val="22"/>
                <w:szCs w:val="22"/>
                <w:shd w:val="clear" w:color="auto" w:fill="FFFFFF"/>
              </w:rPr>
            </w:pPr>
            <w:r w:rsidRPr="00F118EB">
              <w:rPr>
                <w:b/>
                <w:bCs/>
                <w:sz w:val="22"/>
                <w:szCs w:val="22"/>
                <w:shd w:val="clear" w:color="auto" w:fill="FFFFFF"/>
              </w:rPr>
              <w:t xml:space="preserve">Cung cấp thông tin về sản phẩm, bao bì </w:t>
            </w:r>
          </w:p>
          <w:p w14:paraId="1D8D2D7B" w14:textId="77777777" w:rsidR="00C71D1A" w:rsidRPr="00F118EB" w:rsidRDefault="00C71D1A" w:rsidP="00C71D1A">
            <w:pPr>
              <w:snapToGrid w:val="0"/>
              <w:jc w:val="both"/>
              <w:rPr>
                <w:sz w:val="22"/>
                <w:szCs w:val="22"/>
                <w:shd w:val="clear" w:color="auto" w:fill="FFFFFF"/>
              </w:rPr>
            </w:pPr>
          </w:p>
          <w:p w14:paraId="4C168B91" w14:textId="77777777" w:rsidR="00C71D1A" w:rsidRPr="00F118EB" w:rsidRDefault="00C71D1A" w:rsidP="00C71D1A">
            <w:pPr>
              <w:snapToGrid w:val="0"/>
              <w:jc w:val="both"/>
              <w:rPr>
                <w:sz w:val="22"/>
                <w:szCs w:val="22"/>
                <w:shd w:val="clear" w:color="auto" w:fill="FFFFFF"/>
              </w:rPr>
            </w:pPr>
            <w:r w:rsidRPr="00F118EB">
              <w:rPr>
                <w:sz w:val="22"/>
                <w:szCs w:val="22"/>
                <w:shd w:val="clear" w:color="auto" w:fill="FFFFFF"/>
              </w:rPr>
              <w:t>1. Nhà sản xuất, nhập khẩu được quy định tại Điều 87 và Điều 94 Nghị định này có trách nhiệm cung cấp thông tin về sản phẩm, bao bì do mình sản xuất, nhập khẩu về thành phần nguyên liệu, vật liệu; hướng dẫn phân loại, thu gom, tái sử dụng, tái chế, xử lý sau tiêu dùng; cảnh báo rủi ro trong quá trình tái chế, tái sử dụng, xử lý sản phẩm, bao bì.</w:t>
            </w:r>
          </w:p>
          <w:p w14:paraId="17F5293F" w14:textId="77777777" w:rsidR="00C71D1A" w:rsidRPr="00F118EB" w:rsidRDefault="00C71D1A" w:rsidP="00C71D1A">
            <w:pPr>
              <w:snapToGrid w:val="0"/>
              <w:jc w:val="both"/>
              <w:rPr>
                <w:sz w:val="22"/>
                <w:szCs w:val="22"/>
                <w:shd w:val="clear" w:color="auto" w:fill="FFFFFF"/>
              </w:rPr>
            </w:pPr>
          </w:p>
          <w:p w14:paraId="333C1B1F" w14:textId="77777777" w:rsidR="00C71D1A" w:rsidRPr="00F118EB" w:rsidRDefault="00C71D1A" w:rsidP="00C71D1A">
            <w:pPr>
              <w:snapToGrid w:val="0"/>
              <w:jc w:val="both"/>
              <w:rPr>
                <w:sz w:val="22"/>
                <w:szCs w:val="22"/>
                <w:shd w:val="clear" w:color="auto" w:fill="FFFFFF"/>
              </w:rPr>
            </w:pPr>
            <w:r w:rsidRPr="00F118EB">
              <w:rPr>
                <w:sz w:val="22"/>
                <w:szCs w:val="22"/>
                <w:shd w:val="clear" w:color="auto" w:fill="FFFFFF"/>
              </w:rPr>
              <w:t>2. Thông tin quy định tại khoản 1 Điều này phải được thể hiện trên bao bì của sản phẩm hoặc hướng dẫn kèm theo sản phẩm.</w:t>
            </w:r>
          </w:p>
          <w:p w14:paraId="23E947CF" w14:textId="77777777" w:rsidR="00C71D1A" w:rsidRPr="00F118EB" w:rsidRDefault="00C71D1A" w:rsidP="00C71D1A">
            <w:pPr>
              <w:snapToGrid w:val="0"/>
              <w:jc w:val="both"/>
              <w:rPr>
                <w:sz w:val="22"/>
                <w:szCs w:val="22"/>
                <w:shd w:val="clear" w:color="auto" w:fill="FFFFFF"/>
              </w:rPr>
            </w:pPr>
          </w:p>
          <w:p w14:paraId="477497FB" w14:textId="77777777" w:rsidR="00C71D1A" w:rsidRPr="00F118EB" w:rsidRDefault="00C71D1A" w:rsidP="00C71D1A">
            <w:pPr>
              <w:snapToGrid w:val="0"/>
              <w:jc w:val="both"/>
              <w:rPr>
                <w:sz w:val="22"/>
                <w:szCs w:val="22"/>
                <w:shd w:val="clear" w:color="auto" w:fill="FFFFFF"/>
              </w:rPr>
            </w:pPr>
            <w:r w:rsidRPr="00F118EB">
              <w:rPr>
                <w:sz w:val="22"/>
                <w:szCs w:val="22"/>
                <w:shd w:val="clear" w:color="auto" w:fill="FFFFFF"/>
              </w:rPr>
              <w:t>3. Nhà sản xuất, nhập khẩu quy định tại Điều 87 Nghị định này phải sử dụng biểu tượng tái chế quốc gia trên nhãn hiệu, bao bì của sản phẩm, bao bì để người tiêu dùng nhận biết và phân loại. Biểu tượng tái chế quốc gia do Bộ Tài nguyên và Môi trường đăng ký, công bố.</w:t>
            </w:r>
          </w:p>
          <w:p w14:paraId="5EF75278" w14:textId="77777777" w:rsidR="00C71D1A" w:rsidRPr="00F118EB" w:rsidRDefault="00C71D1A" w:rsidP="00C71D1A">
            <w:pPr>
              <w:snapToGrid w:val="0"/>
              <w:jc w:val="both"/>
              <w:rPr>
                <w:sz w:val="22"/>
                <w:szCs w:val="22"/>
              </w:rPr>
            </w:pPr>
          </w:p>
        </w:tc>
        <w:tc>
          <w:tcPr>
            <w:tcW w:w="4222" w:type="dxa"/>
          </w:tcPr>
          <w:p w14:paraId="0324EB9A" w14:textId="7FB9F249" w:rsidR="00C71D1A" w:rsidRPr="00F118EB" w:rsidRDefault="000A0FC7" w:rsidP="00C71D1A">
            <w:pPr>
              <w:snapToGrid w:val="0"/>
              <w:jc w:val="both"/>
              <w:rPr>
                <w:sz w:val="22"/>
                <w:szCs w:val="22"/>
              </w:rPr>
            </w:pPr>
            <w:r w:rsidRPr="00F118EB">
              <w:rPr>
                <w:sz w:val="22"/>
                <w:szCs w:val="22"/>
              </w:rPr>
              <w:t xml:space="preserve">- </w:t>
            </w:r>
            <w:r w:rsidR="00C71D1A" w:rsidRPr="00F118EB">
              <w:rPr>
                <w:sz w:val="22"/>
                <w:szCs w:val="22"/>
                <w:lang w:val="vi-VN"/>
              </w:rPr>
              <w:t xml:space="preserve">Quy định này </w:t>
            </w:r>
            <w:r w:rsidR="00C71D1A" w:rsidRPr="00F118EB">
              <w:rPr>
                <w:sz w:val="22"/>
                <w:szCs w:val="22"/>
              </w:rPr>
              <w:t xml:space="preserve">trái với </w:t>
            </w:r>
            <w:r w:rsidR="00C71D1A" w:rsidRPr="00F118EB">
              <w:rPr>
                <w:sz w:val="22"/>
                <w:szCs w:val="22"/>
                <w:lang w:val="vi-VN"/>
              </w:rPr>
              <w:t>quy định hiện hành về nhãn hàng hóa tại Nghị định số 43/2017/NĐ-CP ngày 14/4/2017 của Chính phủ</w:t>
            </w:r>
            <w:r w:rsidRPr="00F118EB">
              <w:rPr>
                <w:sz w:val="22"/>
                <w:szCs w:val="22"/>
              </w:rPr>
              <w:t xml:space="preserve"> </w:t>
            </w:r>
            <w:r w:rsidRPr="00F118EB">
              <w:rPr>
                <w:sz w:val="22"/>
                <w:szCs w:val="22"/>
              </w:rPr>
              <w:t>trong đó quy định các thông tin này chỉ là tự nguyện.</w:t>
            </w:r>
          </w:p>
          <w:p w14:paraId="2AA3CD24" w14:textId="3A0C07A8" w:rsidR="000A0FC7" w:rsidRPr="00F118EB" w:rsidRDefault="000A0FC7" w:rsidP="00C71D1A">
            <w:pPr>
              <w:snapToGrid w:val="0"/>
              <w:jc w:val="both"/>
              <w:rPr>
                <w:sz w:val="22"/>
                <w:szCs w:val="22"/>
              </w:rPr>
            </w:pPr>
            <w:r w:rsidRPr="00F118EB">
              <w:rPr>
                <w:sz w:val="22"/>
                <w:szCs w:val="22"/>
              </w:rPr>
              <w:t>- Trái với thông lệ quốc tế, tạo rào cản thương mại bất hợp lý.</w:t>
            </w:r>
          </w:p>
          <w:p w14:paraId="3FFCCF31" w14:textId="4AE0A549" w:rsidR="00C71D1A" w:rsidRPr="00F118EB" w:rsidRDefault="000A0FC7" w:rsidP="000A0FC7">
            <w:pPr>
              <w:jc w:val="both"/>
              <w:rPr>
                <w:sz w:val="22"/>
                <w:szCs w:val="22"/>
              </w:rPr>
            </w:pPr>
            <w:r w:rsidRPr="00F118EB">
              <w:rPr>
                <w:sz w:val="22"/>
                <w:szCs w:val="22"/>
              </w:rPr>
              <w:t>- G</w:t>
            </w:r>
            <w:r w:rsidRPr="00F118EB">
              <w:rPr>
                <w:sz w:val="22"/>
                <w:szCs w:val="22"/>
              </w:rPr>
              <w:t xml:space="preserve">ây khó khăn và tốn kém </w:t>
            </w:r>
            <w:r w:rsidRPr="00F118EB">
              <w:rPr>
                <w:sz w:val="22"/>
                <w:szCs w:val="22"/>
              </w:rPr>
              <w:t xml:space="preserve">bất hợp lý </w:t>
            </w:r>
            <w:r w:rsidRPr="00F118EB">
              <w:rPr>
                <w:sz w:val="22"/>
                <w:szCs w:val="22"/>
              </w:rPr>
              <w:t>cho doanh nghiệp khi phải thay đổi toàn bộ nhãn sản phẩm</w:t>
            </w:r>
            <w:r w:rsidRPr="00F118EB">
              <w:rPr>
                <w:sz w:val="22"/>
                <w:szCs w:val="22"/>
              </w:rPr>
              <w:t>.</w:t>
            </w:r>
          </w:p>
          <w:p w14:paraId="5123C113" w14:textId="3BDBF3DA" w:rsidR="00C71D1A" w:rsidRPr="00F118EB" w:rsidRDefault="000A0FC7" w:rsidP="00C71D1A">
            <w:pPr>
              <w:snapToGrid w:val="0"/>
              <w:jc w:val="both"/>
              <w:rPr>
                <w:sz w:val="22"/>
                <w:szCs w:val="22"/>
                <w:lang w:val="vi-VN"/>
              </w:rPr>
            </w:pPr>
            <w:r w:rsidRPr="00F118EB">
              <w:rPr>
                <w:sz w:val="22"/>
                <w:szCs w:val="22"/>
              </w:rPr>
              <w:t xml:space="preserve">- </w:t>
            </w:r>
            <w:r w:rsidR="00C71D1A" w:rsidRPr="00F118EB">
              <w:rPr>
                <w:sz w:val="22"/>
                <w:szCs w:val="22"/>
                <w:lang w:val="vi-VN"/>
              </w:rPr>
              <w:t xml:space="preserve">Theo TCVN ISO 14021: 2017, biểu tượng tái chế là vòng Mobius. Vòng Mobius cũng là biểu tượng tái chế đã được cả thế giới công nhận và </w:t>
            </w:r>
            <w:r w:rsidRPr="00F118EB">
              <w:rPr>
                <w:sz w:val="22"/>
                <w:szCs w:val="22"/>
              </w:rPr>
              <w:t xml:space="preserve">tự nguyện </w:t>
            </w:r>
            <w:r w:rsidR="00C71D1A" w:rsidRPr="00F118EB">
              <w:rPr>
                <w:sz w:val="22"/>
                <w:szCs w:val="22"/>
                <w:lang w:val="vi-VN"/>
              </w:rPr>
              <w:t>áp dụng rộng rãi. Do đó, chúng tôi đề nghị Bộ T</w:t>
            </w:r>
            <w:r w:rsidR="00C71D1A" w:rsidRPr="00F118EB">
              <w:rPr>
                <w:sz w:val="22"/>
                <w:szCs w:val="22"/>
              </w:rPr>
              <w:t xml:space="preserve">ài nguyên và Môi trường </w:t>
            </w:r>
            <w:r w:rsidR="00C71D1A" w:rsidRPr="00F118EB">
              <w:rPr>
                <w:sz w:val="22"/>
                <w:szCs w:val="22"/>
                <w:lang w:val="vi-VN"/>
              </w:rPr>
              <w:t>sử dụng vòng Mobius làm Biểu tượng tái chế quốc gia để hài hòa với quy định của các quốc gia khác</w:t>
            </w:r>
            <w:r w:rsidRPr="00F118EB">
              <w:rPr>
                <w:sz w:val="22"/>
                <w:szCs w:val="22"/>
              </w:rPr>
              <w:t>, và việc sử dụng cũng là tự nguyện</w:t>
            </w:r>
            <w:r w:rsidR="00C71D1A" w:rsidRPr="00F118EB">
              <w:rPr>
                <w:sz w:val="22"/>
                <w:szCs w:val="22"/>
                <w:lang w:val="vi-VN"/>
              </w:rPr>
              <w:t>.</w:t>
            </w:r>
          </w:p>
        </w:tc>
        <w:tc>
          <w:tcPr>
            <w:tcW w:w="3968" w:type="dxa"/>
          </w:tcPr>
          <w:p w14:paraId="25C3BBD0" w14:textId="1B56B214" w:rsidR="00C71D1A" w:rsidRPr="00F118EB" w:rsidRDefault="00C71D1A" w:rsidP="00C71D1A">
            <w:pPr>
              <w:snapToGrid w:val="0"/>
              <w:jc w:val="both"/>
              <w:rPr>
                <w:sz w:val="22"/>
                <w:szCs w:val="22"/>
                <w:lang w:val="en-GB"/>
              </w:rPr>
            </w:pPr>
            <w:r w:rsidRPr="00F118EB">
              <w:rPr>
                <w:sz w:val="22"/>
                <w:szCs w:val="22"/>
                <w:lang w:val="en-GB"/>
              </w:rPr>
              <w:t>Đề nghị bỏ quy định tại Điều 97.</w:t>
            </w:r>
          </w:p>
        </w:tc>
      </w:tr>
      <w:tr w:rsidR="00C71D1A" w:rsidRPr="00F118EB" w14:paraId="07EEBFEA" w14:textId="77777777" w:rsidTr="00E24CCA">
        <w:tc>
          <w:tcPr>
            <w:tcW w:w="715" w:type="dxa"/>
          </w:tcPr>
          <w:p w14:paraId="2C396BC3" w14:textId="1C40B4BC" w:rsidR="00C71D1A" w:rsidRPr="00F118EB" w:rsidRDefault="00C71D1A" w:rsidP="00C71D1A">
            <w:pPr>
              <w:snapToGrid w:val="0"/>
              <w:jc w:val="right"/>
              <w:rPr>
                <w:bCs/>
                <w:sz w:val="22"/>
                <w:szCs w:val="22"/>
                <w:lang w:val="en-GB"/>
              </w:rPr>
            </w:pPr>
            <w:r w:rsidRPr="00F118EB">
              <w:rPr>
                <w:bCs/>
                <w:sz w:val="22"/>
                <w:szCs w:val="22"/>
                <w:lang w:val="en-GB"/>
              </w:rPr>
              <w:t>9</w:t>
            </w:r>
          </w:p>
        </w:tc>
        <w:tc>
          <w:tcPr>
            <w:tcW w:w="1259" w:type="dxa"/>
          </w:tcPr>
          <w:p w14:paraId="31E7CF70" w14:textId="77777777" w:rsidR="00C71D1A" w:rsidRPr="00F118EB" w:rsidRDefault="00C71D1A" w:rsidP="00C71D1A">
            <w:pPr>
              <w:snapToGrid w:val="0"/>
              <w:jc w:val="center"/>
              <w:rPr>
                <w:b/>
                <w:sz w:val="22"/>
                <w:szCs w:val="22"/>
                <w:lang w:val="en-GB"/>
              </w:rPr>
            </w:pPr>
            <w:r w:rsidRPr="00F118EB">
              <w:rPr>
                <w:b/>
                <w:sz w:val="22"/>
                <w:szCs w:val="22"/>
                <w:lang w:val="en-GB"/>
              </w:rPr>
              <w:t>Điều 99</w:t>
            </w:r>
          </w:p>
          <w:p w14:paraId="250DCCFD" w14:textId="77777777" w:rsidR="00C71D1A" w:rsidRPr="00F118EB" w:rsidRDefault="00C71D1A" w:rsidP="00C71D1A">
            <w:pPr>
              <w:snapToGrid w:val="0"/>
              <w:jc w:val="center"/>
              <w:rPr>
                <w:bCs/>
                <w:sz w:val="22"/>
                <w:szCs w:val="22"/>
                <w:lang w:val="en-GB"/>
              </w:rPr>
            </w:pPr>
            <w:r w:rsidRPr="00F118EB">
              <w:rPr>
                <w:bCs/>
                <w:sz w:val="22"/>
                <w:szCs w:val="22"/>
                <w:lang w:val="en-GB"/>
              </w:rPr>
              <w:t>Khoản 1, 2, 3</w:t>
            </w:r>
          </w:p>
        </w:tc>
        <w:tc>
          <w:tcPr>
            <w:tcW w:w="4861" w:type="dxa"/>
          </w:tcPr>
          <w:p w14:paraId="1D7DBC76" w14:textId="77777777" w:rsidR="00C71D1A" w:rsidRPr="00F118EB" w:rsidRDefault="00C71D1A" w:rsidP="00C71D1A">
            <w:pPr>
              <w:snapToGrid w:val="0"/>
              <w:jc w:val="both"/>
              <w:rPr>
                <w:b/>
                <w:bCs/>
                <w:sz w:val="22"/>
                <w:szCs w:val="22"/>
                <w:lang w:val="en-GB"/>
              </w:rPr>
            </w:pPr>
            <w:r w:rsidRPr="00F118EB">
              <w:rPr>
                <w:b/>
                <w:bCs/>
                <w:sz w:val="22"/>
                <w:szCs w:val="22"/>
                <w:lang w:val="en-GB"/>
              </w:rPr>
              <w:t>Hội đồng EPR quốc gia</w:t>
            </w:r>
          </w:p>
          <w:p w14:paraId="7BB3B755" w14:textId="77777777" w:rsidR="00C71D1A" w:rsidRPr="00F118EB" w:rsidRDefault="00C71D1A" w:rsidP="00C71D1A">
            <w:pPr>
              <w:snapToGrid w:val="0"/>
              <w:jc w:val="both"/>
              <w:rPr>
                <w:sz w:val="22"/>
                <w:szCs w:val="22"/>
                <w:lang w:val="en-GB"/>
              </w:rPr>
            </w:pPr>
          </w:p>
          <w:p w14:paraId="388D281F" w14:textId="77777777" w:rsidR="00C71D1A" w:rsidRPr="00F118EB" w:rsidRDefault="00C71D1A" w:rsidP="00C71D1A">
            <w:pPr>
              <w:snapToGrid w:val="0"/>
              <w:jc w:val="both"/>
              <w:rPr>
                <w:sz w:val="22"/>
                <w:szCs w:val="22"/>
                <w:lang w:val="en-GB"/>
              </w:rPr>
            </w:pPr>
            <w:r w:rsidRPr="00F118EB">
              <w:rPr>
                <w:sz w:val="22"/>
                <w:szCs w:val="22"/>
                <w:lang w:val="en-GB"/>
              </w:rPr>
              <w:t>1. Hội đồng EPR quốc gia là tổ chức đại diện cho nhà sản xuất, nhập khẩu có sự tham gia của các cơ quan quản lý nhà nước có liên quan; có nhiệm vụ tư vấn cho Bộ trưởng Bộ Tài nguyên và Môi trường quản lý, giám sát việc thực hiện trách nhiệm của nhà sản xuất, nhập khẩu theo quy định của Chương này.</w:t>
            </w:r>
          </w:p>
          <w:p w14:paraId="1A490B00" w14:textId="77777777" w:rsidR="00C71D1A" w:rsidRPr="00F118EB" w:rsidRDefault="00C71D1A" w:rsidP="00C71D1A">
            <w:pPr>
              <w:snapToGrid w:val="0"/>
              <w:jc w:val="both"/>
              <w:rPr>
                <w:sz w:val="22"/>
                <w:szCs w:val="22"/>
                <w:lang w:val="en-GB"/>
              </w:rPr>
            </w:pPr>
            <w:r w:rsidRPr="00F118EB">
              <w:rPr>
                <w:sz w:val="22"/>
                <w:szCs w:val="22"/>
                <w:lang w:val="en-GB"/>
              </w:rPr>
              <w:t>2. Hội đồng EPR quốc gia gồm đại diện các Bộ: Tài nguyên và Môi trường, Tài chính, Công thương; đại diện các nhà sản xuất, nhập khẩu và một số tổ chức, cá nhân khác có liên quan. Chủ tịch Hội đồng EPR quốc gia là Lãnh đạo Bộ Tài nguyên và Môi trường.</w:t>
            </w:r>
          </w:p>
          <w:p w14:paraId="7F37BB64" w14:textId="77777777" w:rsidR="00C71D1A" w:rsidRPr="00F118EB" w:rsidRDefault="00C71D1A" w:rsidP="00C71D1A">
            <w:pPr>
              <w:snapToGrid w:val="0"/>
              <w:jc w:val="both"/>
              <w:rPr>
                <w:sz w:val="22"/>
                <w:szCs w:val="22"/>
                <w:lang w:val="en-GB"/>
              </w:rPr>
            </w:pPr>
            <w:r w:rsidRPr="00F118EB">
              <w:rPr>
                <w:sz w:val="22"/>
                <w:szCs w:val="22"/>
                <w:lang w:val="en-GB"/>
              </w:rPr>
              <w:t>3. Bộ Tài nguyên và Môi trường ban hành quy chế tổ chức và hoạt động của Hội đồng EPR quốc gia.</w:t>
            </w:r>
          </w:p>
          <w:p w14:paraId="181CD49B" w14:textId="77777777" w:rsidR="00C71D1A" w:rsidRPr="00F118EB" w:rsidRDefault="00C71D1A" w:rsidP="00C71D1A">
            <w:pPr>
              <w:snapToGrid w:val="0"/>
              <w:jc w:val="both"/>
              <w:rPr>
                <w:sz w:val="22"/>
                <w:szCs w:val="22"/>
                <w:lang w:val="en-GB"/>
              </w:rPr>
            </w:pPr>
          </w:p>
        </w:tc>
        <w:tc>
          <w:tcPr>
            <w:tcW w:w="4222" w:type="dxa"/>
          </w:tcPr>
          <w:p w14:paraId="053AFB79" w14:textId="300D6F75" w:rsidR="000A0FC7" w:rsidRPr="00F118EB" w:rsidRDefault="000A0FC7" w:rsidP="000A0FC7">
            <w:pPr>
              <w:rPr>
                <w:sz w:val="22"/>
                <w:szCs w:val="22"/>
                <w:shd w:val="clear" w:color="auto" w:fill="FFFFFF"/>
              </w:rPr>
            </w:pPr>
            <w:r w:rsidRPr="00F118EB">
              <w:rPr>
                <w:sz w:val="22"/>
                <w:szCs w:val="22"/>
                <w:shd w:val="clear" w:color="auto" w:fill="FFFFFF"/>
              </w:rPr>
              <w:lastRenderedPageBreak/>
              <w:t xml:space="preserve">- </w:t>
            </w:r>
            <w:r w:rsidRPr="00F118EB">
              <w:rPr>
                <w:sz w:val="22"/>
                <w:szCs w:val="22"/>
                <w:shd w:val="clear" w:color="auto" w:fill="FFFFFF"/>
              </w:rPr>
              <w:t xml:space="preserve">Hội đồng EPR quốc gia là tổ chức đại diện cho nhà sản xuất, nhập khẩu nhưng thành phần gồm đại diện các Bộ: Tài nguyên và Môi trường, Tài chính, Công thương thì không thể là đại diện cho các nhà sản xuất, nhập khẩu được. </w:t>
            </w:r>
          </w:p>
          <w:p w14:paraId="0060B85F" w14:textId="62186A16" w:rsidR="000A0FC7" w:rsidRPr="00F118EB" w:rsidRDefault="000A0FC7" w:rsidP="000A0FC7">
            <w:pPr>
              <w:rPr>
                <w:sz w:val="22"/>
                <w:szCs w:val="22"/>
                <w:shd w:val="clear" w:color="auto" w:fill="FFFFFF"/>
              </w:rPr>
            </w:pPr>
            <w:r w:rsidRPr="00F118EB">
              <w:rPr>
                <w:sz w:val="22"/>
                <w:szCs w:val="22"/>
                <w:shd w:val="clear" w:color="auto" w:fill="FFFFFF"/>
              </w:rPr>
              <w:t xml:space="preserve">- </w:t>
            </w:r>
            <w:r w:rsidRPr="00F118EB">
              <w:rPr>
                <w:sz w:val="22"/>
                <w:szCs w:val="22"/>
                <w:shd w:val="clear" w:color="auto" w:fill="FFFFFF"/>
              </w:rPr>
              <w:t xml:space="preserve">Làm như vậy là nhà quản lý khoác thêm áo doanh nghiệp, khó đảm bảo sự công bằng, minh bạch. </w:t>
            </w:r>
          </w:p>
          <w:p w14:paraId="198DD63A" w14:textId="79D826D0" w:rsidR="000A0FC7" w:rsidRPr="00F118EB" w:rsidRDefault="000A0FC7" w:rsidP="000A0FC7">
            <w:pPr>
              <w:rPr>
                <w:sz w:val="22"/>
                <w:szCs w:val="22"/>
                <w:shd w:val="clear" w:color="auto" w:fill="FFFFFF"/>
              </w:rPr>
            </w:pPr>
            <w:r w:rsidRPr="00F118EB">
              <w:rPr>
                <w:sz w:val="22"/>
                <w:szCs w:val="22"/>
                <w:shd w:val="clear" w:color="auto" w:fill="FFFFFF"/>
              </w:rPr>
              <w:t xml:space="preserve">- </w:t>
            </w:r>
            <w:r w:rsidRPr="00F118EB">
              <w:rPr>
                <w:sz w:val="22"/>
                <w:szCs w:val="22"/>
                <w:shd w:val="clear" w:color="auto" w:fill="FFFFFF"/>
              </w:rPr>
              <w:t>Là nhà quản lý, đã có lương của nhà nước chi trả, nhưng các chi phí trong Hội đồng EPR quốc gia lại lấy từ quỹ của các doanh nghiệp đóng góp là không phù hợp với Luật quản lý phí, lệ phí, và gây sự nhập nhèm giữa công và tư.</w:t>
            </w:r>
          </w:p>
          <w:p w14:paraId="30BD2FFC" w14:textId="1DCC6F06" w:rsidR="00C71D1A" w:rsidRPr="00F118EB" w:rsidRDefault="000A0FC7" w:rsidP="00C71D1A">
            <w:pPr>
              <w:snapToGrid w:val="0"/>
              <w:jc w:val="both"/>
              <w:rPr>
                <w:sz w:val="22"/>
                <w:szCs w:val="22"/>
              </w:rPr>
            </w:pPr>
            <w:r w:rsidRPr="00F118EB">
              <w:rPr>
                <w:sz w:val="22"/>
                <w:szCs w:val="22"/>
              </w:rPr>
              <w:lastRenderedPageBreak/>
              <w:t xml:space="preserve">- </w:t>
            </w:r>
            <w:r w:rsidR="00C71D1A" w:rsidRPr="00F118EB">
              <w:rPr>
                <w:sz w:val="22"/>
                <w:szCs w:val="22"/>
              </w:rPr>
              <w:t xml:space="preserve">Nếu coi Hội đồng EPR quốc gia là tổ chức đại diện cho nhà sản xuất, nhập khẩu thì </w:t>
            </w:r>
            <w:r w:rsidRPr="00F118EB">
              <w:rPr>
                <w:sz w:val="22"/>
                <w:szCs w:val="22"/>
              </w:rPr>
              <w:t xml:space="preserve">thành viên </w:t>
            </w:r>
            <w:r w:rsidR="00C71D1A" w:rsidRPr="00F118EB">
              <w:rPr>
                <w:sz w:val="22"/>
                <w:szCs w:val="22"/>
              </w:rPr>
              <w:t xml:space="preserve">Hội đồng EPR quốc gia </w:t>
            </w:r>
            <w:r w:rsidRPr="00F118EB">
              <w:rPr>
                <w:sz w:val="22"/>
                <w:szCs w:val="22"/>
              </w:rPr>
              <w:t>phải là đại diện doanh nghiệp được</w:t>
            </w:r>
            <w:r w:rsidR="00C71D1A" w:rsidRPr="00F118EB">
              <w:rPr>
                <w:sz w:val="22"/>
                <w:szCs w:val="22"/>
              </w:rPr>
              <w:t xml:space="preserve"> các nhà sản xuất, nhập khẩu, các hiệp hội đề cử và bầu chọn. Hội đồng hoạt động dưới sự giám sát của các thành viên, theo Quy chế tổ chức và hoạt động do Bộ Tài nguyên và Môi trường ban hành.  </w:t>
            </w:r>
          </w:p>
        </w:tc>
        <w:tc>
          <w:tcPr>
            <w:tcW w:w="3968" w:type="dxa"/>
          </w:tcPr>
          <w:p w14:paraId="6A02C7D8" w14:textId="77777777" w:rsidR="00F118EB" w:rsidRPr="00F118EB" w:rsidRDefault="000A0FC7" w:rsidP="00C71D1A">
            <w:pPr>
              <w:snapToGrid w:val="0"/>
              <w:jc w:val="both"/>
              <w:rPr>
                <w:sz w:val="22"/>
                <w:szCs w:val="22"/>
                <w:shd w:val="clear" w:color="auto" w:fill="FFFFFF"/>
              </w:rPr>
            </w:pPr>
            <w:r w:rsidRPr="00F118EB">
              <w:rPr>
                <w:bCs/>
                <w:sz w:val="22"/>
                <w:szCs w:val="22"/>
                <w:shd w:val="clear" w:color="auto" w:fill="FFFFFF"/>
              </w:rPr>
              <w:lastRenderedPageBreak/>
              <w:t>Cần quy định lại thành phần (có số thành viên cụ thể</w:t>
            </w:r>
            <w:r w:rsidRPr="00F118EB">
              <w:rPr>
                <w:bCs/>
                <w:sz w:val="22"/>
                <w:szCs w:val="22"/>
                <w:shd w:val="clear" w:color="auto" w:fill="FFFFFF"/>
              </w:rPr>
              <w:t>, và chỉ gồm đại diện các nhà sản xuất, nhập khẩu</w:t>
            </w:r>
            <w:r w:rsidRPr="00F118EB">
              <w:rPr>
                <w:bCs/>
                <w:sz w:val="22"/>
                <w:szCs w:val="22"/>
                <w:shd w:val="clear" w:color="auto" w:fill="FFFFFF"/>
              </w:rPr>
              <w:t xml:space="preserve">), và quy định lại cơ cấu hoạt động, chức năng nhiệm vụ của </w:t>
            </w:r>
            <w:r w:rsidRPr="00F118EB">
              <w:rPr>
                <w:sz w:val="22"/>
                <w:szCs w:val="22"/>
                <w:shd w:val="clear" w:color="auto" w:fill="FFFFFF"/>
              </w:rPr>
              <w:t xml:space="preserve"> Hội đồng EPR quốc gia</w:t>
            </w:r>
            <w:r w:rsidR="00F118EB" w:rsidRPr="00F118EB">
              <w:rPr>
                <w:sz w:val="22"/>
                <w:szCs w:val="22"/>
                <w:shd w:val="clear" w:color="auto" w:fill="FFFFFF"/>
              </w:rPr>
              <w:t xml:space="preserve"> và Văn phòng EPR quốc gia</w:t>
            </w:r>
            <w:r w:rsidRPr="00F118EB">
              <w:rPr>
                <w:sz w:val="22"/>
                <w:szCs w:val="22"/>
              </w:rPr>
              <w:t xml:space="preserve"> cho rõ ràng, tránh nhập nhèm giữa công và tư. </w:t>
            </w:r>
            <w:r w:rsidRPr="00F118EB">
              <w:rPr>
                <w:sz w:val="22"/>
                <w:szCs w:val="22"/>
                <w:shd w:val="clear" w:color="auto" w:fill="FFFFFF"/>
              </w:rPr>
              <w:t xml:space="preserve"> </w:t>
            </w:r>
          </w:p>
          <w:p w14:paraId="75030771" w14:textId="77777777" w:rsidR="00F118EB" w:rsidRPr="00F118EB" w:rsidRDefault="00F118EB" w:rsidP="00C71D1A">
            <w:pPr>
              <w:snapToGrid w:val="0"/>
              <w:jc w:val="both"/>
              <w:rPr>
                <w:sz w:val="22"/>
                <w:szCs w:val="22"/>
                <w:shd w:val="clear" w:color="auto" w:fill="FFFFFF"/>
              </w:rPr>
            </w:pPr>
          </w:p>
          <w:p w14:paraId="7EBF3204" w14:textId="07B9912C" w:rsidR="00C71D1A" w:rsidRPr="00F118EB" w:rsidRDefault="000A0FC7" w:rsidP="00C71D1A">
            <w:pPr>
              <w:snapToGrid w:val="0"/>
              <w:jc w:val="both"/>
              <w:rPr>
                <w:sz w:val="22"/>
                <w:szCs w:val="22"/>
                <w:lang w:val="en-GB"/>
              </w:rPr>
            </w:pPr>
            <w:r w:rsidRPr="00F118EB">
              <w:rPr>
                <w:sz w:val="22"/>
                <w:szCs w:val="22"/>
                <w:shd w:val="clear" w:color="auto" w:fill="FFFFFF"/>
              </w:rPr>
              <w:t>Hoạt động của Hội đồng EPR quốc gia</w:t>
            </w:r>
            <w:r w:rsidRPr="00F118EB">
              <w:rPr>
                <w:sz w:val="22"/>
                <w:szCs w:val="22"/>
              </w:rPr>
              <w:t xml:space="preserve"> và Văn phòng EPR quốc gia phải sử dụng ngân sách nhà nước, chứ không phải từ quỹ doanh nghiệp nộp.</w:t>
            </w:r>
          </w:p>
        </w:tc>
      </w:tr>
      <w:tr w:rsidR="00C71D1A" w:rsidRPr="00F118EB" w14:paraId="184BCA19" w14:textId="77777777" w:rsidTr="00E24CCA">
        <w:tc>
          <w:tcPr>
            <w:tcW w:w="715" w:type="dxa"/>
          </w:tcPr>
          <w:p w14:paraId="6D451C3E" w14:textId="4B10C61E" w:rsidR="00C71D1A" w:rsidRPr="00F118EB" w:rsidRDefault="00C71D1A" w:rsidP="00C71D1A">
            <w:pPr>
              <w:snapToGrid w:val="0"/>
              <w:jc w:val="right"/>
              <w:rPr>
                <w:bCs/>
                <w:sz w:val="22"/>
                <w:szCs w:val="22"/>
                <w:lang w:val="en-GB"/>
              </w:rPr>
            </w:pPr>
            <w:r w:rsidRPr="00F118EB">
              <w:rPr>
                <w:bCs/>
                <w:sz w:val="22"/>
                <w:szCs w:val="22"/>
                <w:lang w:val="en-GB"/>
              </w:rPr>
              <w:lastRenderedPageBreak/>
              <w:t>10</w:t>
            </w:r>
          </w:p>
        </w:tc>
        <w:tc>
          <w:tcPr>
            <w:tcW w:w="1259" w:type="dxa"/>
          </w:tcPr>
          <w:p w14:paraId="0F59651F" w14:textId="202CFA21" w:rsidR="00C71D1A" w:rsidRPr="00F118EB" w:rsidRDefault="00C71D1A" w:rsidP="00C71D1A">
            <w:pPr>
              <w:snapToGrid w:val="0"/>
              <w:jc w:val="center"/>
              <w:rPr>
                <w:bCs/>
                <w:sz w:val="22"/>
                <w:szCs w:val="22"/>
                <w:lang w:val="en-GB"/>
              </w:rPr>
            </w:pPr>
            <w:r w:rsidRPr="00F118EB">
              <w:rPr>
                <w:b/>
                <w:sz w:val="22"/>
                <w:szCs w:val="22"/>
                <w:lang w:val="en-GB"/>
              </w:rPr>
              <w:t>Điều 100</w:t>
            </w:r>
            <w:r w:rsidRPr="00F118EB">
              <w:rPr>
                <w:bCs/>
                <w:sz w:val="22"/>
                <w:szCs w:val="22"/>
                <w:lang w:val="en-GB"/>
              </w:rPr>
              <w:t>, Khoản 1, 2, 3</w:t>
            </w:r>
          </w:p>
        </w:tc>
        <w:tc>
          <w:tcPr>
            <w:tcW w:w="4861" w:type="dxa"/>
          </w:tcPr>
          <w:p w14:paraId="73890DA2" w14:textId="77777777" w:rsidR="00C71D1A" w:rsidRPr="00F118EB" w:rsidRDefault="00C71D1A" w:rsidP="00C71D1A">
            <w:pPr>
              <w:snapToGrid w:val="0"/>
              <w:jc w:val="both"/>
              <w:rPr>
                <w:sz w:val="22"/>
                <w:szCs w:val="22"/>
              </w:rPr>
            </w:pPr>
            <w:r w:rsidRPr="00F118EB">
              <w:rPr>
                <w:sz w:val="22"/>
                <w:szCs w:val="22"/>
              </w:rPr>
              <w:t>1. Văn phòng Văn phòng EPR Việt Nam là cơ quan thường trực của Hội đồng EPR quốc gia đặt tại Bộ Tài nguyên và Môi trường; được Bộ Tài nguyên và Môi trường giao quản lý, giám sát việc thực hiện trách nhiệm của nhà sản xuất, nhập khẩu quy định tại Điều 87 và Điều 94 Nghị định này.</w:t>
            </w:r>
          </w:p>
          <w:p w14:paraId="6BDCE29B" w14:textId="77777777" w:rsidR="00C71D1A" w:rsidRPr="00F118EB" w:rsidRDefault="00C71D1A" w:rsidP="00C71D1A">
            <w:pPr>
              <w:snapToGrid w:val="0"/>
              <w:jc w:val="both"/>
              <w:rPr>
                <w:sz w:val="22"/>
                <w:szCs w:val="22"/>
              </w:rPr>
            </w:pPr>
            <w:r w:rsidRPr="00F118EB">
              <w:rPr>
                <w:sz w:val="22"/>
                <w:szCs w:val="22"/>
              </w:rPr>
              <w:t>2. Văn phòng EPR Việt Nam là tổ chức của nhà sản xuất, nhập khẩu; hoạt động không vì mục đích lợi nhuận; có con dấu, tài khoản theo quy định của pháp luật chịu sự chỉ đạo, quản lý, giám sát của Bộ Tài nguyên và Môi trường.</w:t>
            </w:r>
          </w:p>
          <w:p w14:paraId="13EE3DBC" w14:textId="77777777" w:rsidR="00C71D1A" w:rsidRPr="00F118EB" w:rsidRDefault="00C71D1A" w:rsidP="00C71D1A">
            <w:pPr>
              <w:snapToGrid w:val="0"/>
              <w:jc w:val="both"/>
              <w:rPr>
                <w:sz w:val="22"/>
                <w:szCs w:val="22"/>
              </w:rPr>
            </w:pPr>
            <w:r w:rsidRPr="00F118EB">
              <w:rPr>
                <w:sz w:val="22"/>
                <w:szCs w:val="22"/>
              </w:rPr>
              <w:t>3. Bộ trưởng Bộ Tài nguyên và Môi trường quy định chức năng, nhiệm vụ, quyền hạn và cơ cấu tổ chức và phê duyệt quy chế hoạt động của Văn phòng EPR Việt Nam trên cơ sở đề xuất của Hội đồng EPR quốc gia.</w:t>
            </w:r>
          </w:p>
          <w:p w14:paraId="197BBFD7" w14:textId="42247E9B" w:rsidR="00C71D1A" w:rsidRPr="00F118EB" w:rsidRDefault="00C71D1A" w:rsidP="00F118EB">
            <w:pPr>
              <w:snapToGrid w:val="0"/>
              <w:jc w:val="both"/>
              <w:rPr>
                <w:sz w:val="22"/>
                <w:szCs w:val="22"/>
              </w:rPr>
            </w:pPr>
            <w:r w:rsidRPr="00F118EB">
              <w:rPr>
                <w:sz w:val="22"/>
                <w:szCs w:val="22"/>
              </w:rPr>
              <w:t>Hội đồng EPR quốc gia quyết định kinh phí hoạt động của Văn phòng EPR Việt Nam từ số tiền do nhà sản xuất, nhập khẩu nộp vào Quỹ Bảo vệ môi trường Việt Nam theo quy định của Chương này.</w:t>
            </w:r>
          </w:p>
        </w:tc>
        <w:tc>
          <w:tcPr>
            <w:tcW w:w="4222" w:type="dxa"/>
          </w:tcPr>
          <w:p w14:paraId="292E9363" w14:textId="0D81A85C" w:rsidR="00F118EB" w:rsidRPr="00F118EB" w:rsidRDefault="00F118EB" w:rsidP="00C71D1A">
            <w:pPr>
              <w:jc w:val="both"/>
              <w:rPr>
                <w:sz w:val="22"/>
                <w:szCs w:val="22"/>
                <w:lang w:eastAsia="fr-FR"/>
              </w:rPr>
            </w:pPr>
            <w:r w:rsidRPr="00F118EB">
              <w:rPr>
                <w:sz w:val="22"/>
                <w:szCs w:val="22"/>
                <w:lang w:eastAsia="fr-FR"/>
              </w:rPr>
              <w:t xml:space="preserve">- Tương tự như Hội đồng EPR quốc gia, việc thành phần điều hành là cơ quan quản lý mà lại gọi là </w:t>
            </w:r>
            <w:r w:rsidRPr="00F118EB">
              <w:rPr>
                <w:sz w:val="22"/>
                <w:szCs w:val="22"/>
              </w:rPr>
              <w:t xml:space="preserve"> </w:t>
            </w:r>
            <w:r w:rsidRPr="00F118EB">
              <w:rPr>
                <w:sz w:val="22"/>
                <w:szCs w:val="22"/>
              </w:rPr>
              <w:t>tổ chức của nhà sản xuất, nhập khẩu</w:t>
            </w:r>
            <w:r w:rsidRPr="00F118EB">
              <w:rPr>
                <w:sz w:val="22"/>
                <w:szCs w:val="22"/>
                <w:lang w:eastAsia="fr-FR"/>
              </w:rPr>
              <w:t xml:space="preserve"> là không phù hợp, gây nhập nhèm giữa công và tư.</w:t>
            </w:r>
          </w:p>
          <w:p w14:paraId="0E8BA0A4" w14:textId="77777777" w:rsidR="00F118EB" w:rsidRPr="00F118EB" w:rsidRDefault="00F118EB" w:rsidP="00C71D1A">
            <w:pPr>
              <w:jc w:val="both"/>
              <w:rPr>
                <w:sz w:val="22"/>
                <w:szCs w:val="22"/>
                <w:lang w:eastAsia="fr-FR"/>
              </w:rPr>
            </w:pPr>
          </w:p>
          <w:p w14:paraId="1B1D106A" w14:textId="5F0D0A81" w:rsidR="00C71D1A" w:rsidRPr="00F118EB" w:rsidRDefault="00F118EB" w:rsidP="00C71D1A">
            <w:pPr>
              <w:jc w:val="both"/>
              <w:rPr>
                <w:sz w:val="22"/>
                <w:szCs w:val="22"/>
                <w:lang w:eastAsia="fr-FR"/>
              </w:rPr>
            </w:pPr>
            <w:r w:rsidRPr="00F118EB">
              <w:rPr>
                <w:sz w:val="22"/>
                <w:szCs w:val="22"/>
                <w:lang w:eastAsia="fr-FR"/>
              </w:rPr>
              <w:t xml:space="preserve">- </w:t>
            </w:r>
            <w:r w:rsidR="00C71D1A" w:rsidRPr="00F118EB">
              <w:rPr>
                <w:sz w:val="22"/>
                <w:szCs w:val="22"/>
                <w:lang w:eastAsia="fr-FR"/>
              </w:rPr>
              <w:t>Chúng tôi kiến nghị không thành lập mới Văn phòng EPR Việt Nam, mà giao nhiệm vụ này cho một đơn vị chuyên môn của Bộ Tài nguyên và Môi trường, vừa đảm bảo vai trò quản lý, giám sát của Nhà nước đối với việc thực hiện trách nhiệm tái chế của nhà sản xuất, nhập khẩu, vừa phù hợp với chỉ đạo của Chính phù về tổ chức tinh gọn bộ máy, đồng thời còn giúp giảm bớt gánh nặng chi phí quản lý mà doanh nghiệp phải chi trả cho quá trình tái chế, xử lý sản phẩm, bao bì của mình.</w:t>
            </w:r>
          </w:p>
          <w:p w14:paraId="3B7B6669" w14:textId="79ADC9A1" w:rsidR="00C71D1A" w:rsidRPr="00F118EB" w:rsidRDefault="00C71D1A" w:rsidP="00C71D1A">
            <w:pPr>
              <w:snapToGrid w:val="0"/>
              <w:jc w:val="both"/>
              <w:rPr>
                <w:sz w:val="22"/>
                <w:szCs w:val="22"/>
                <w:lang w:val="vi-VN"/>
              </w:rPr>
            </w:pPr>
          </w:p>
        </w:tc>
        <w:tc>
          <w:tcPr>
            <w:tcW w:w="3968" w:type="dxa"/>
          </w:tcPr>
          <w:p w14:paraId="56627BA7" w14:textId="6C376E09" w:rsidR="00C71D1A" w:rsidRPr="00F118EB" w:rsidRDefault="00C71D1A" w:rsidP="00C71D1A">
            <w:pPr>
              <w:snapToGrid w:val="0"/>
              <w:jc w:val="both"/>
              <w:rPr>
                <w:sz w:val="22"/>
                <w:szCs w:val="22"/>
              </w:rPr>
            </w:pPr>
            <w:r w:rsidRPr="00F118EB">
              <w:rPr>
                <w:sz w:val="22"/>
                <w:szCs w:val="22"/>
              </w:rPr>
              <w:t>Đề nghị sửa lại Điều 100 theo hướng kiến nghị “không thành lập mới Văn phòng EPR Việt Nam”, và bỏ quy định “ Hội đồng EPR quốc gia quyết định kinh phí hoạt động của Văn phòng EPR Việt Nam từ số tiền do nhà sản xuất, nhập khẩu nộp vào Quỹ Bảo vệ môi trường Việt Nam theo quy định của Chương này”.</w:t>
            </w:r>
          </w:p>
          <w:p w14:paraId="2585450F" w14:textId="04B7189C" w:rsidR="000A0FC7" w:rsidRPr="00F118EB" w:rsidRDefault="000A0FC7" w:rsidP="00C71D1A">
            <w:pPr>
              <w:snapToGrid w:val="0"/>
              <w:jc w:val="both"/>
              <w:rPr>
                <w:sz w:val="22"/>
                <w:szCs w:val="22"/>
              </w:rPr>
            </w:pPr>
          </w:p>
          <w:p w14:paraId="7F37C912" w14:textId="1A29C4C8" w:rsidR="000A0FC7" w:rsidRPr="00F118EB" w:rsidRDefault="000A0FC7" w:rsidP="00C71D1A">
            <w:pPr>
              <w:snapToGrid w:val="0"/>
              <w:jc w:val="both"/>
              <w:rPr>
                <w:sz w:val="22"/>
                <w:szCs w:val="22"/>
              </w:rPr>
            </w:pPr>
            <w:r w:rsidRPr="00F118EB">
              <w:rPr>
                <w:sz w:val="22"/>
                <w:szCs w:val="22"/>
                <w:shd w:val="clear" w:color="auto" w:fill="FFFFFF"/>
              </w:rPr>
              <w:t>Hoạt động của Hội đồng EPR quốc gia</w:t>
            </w:r>
            <w:r w:rsidRPr="00F118EB">
              <w:rPr>
                <w:sz w:val="22"/>
                <w:szCs w:val="22"/>
              </w:rPr>
              <w:t xml:space="preserve"> và Văn phòng EPR quốc gia phải sử dụng ngân sách nhà nước, chứ không phải từ quỹ doanh nghiệp nộp.</w:t>
            </w:r>
          </w:p>
          <w:p w14:paraId="081492AE" w14:textId="1B2E9102" w:rsidR="00C71D1A" w:rsidRPr="00F118EB" w:rsidRDefault="00C71D1A" w:rsidP="00C71D1A">
            <w:pPr>
              <w:snapToGrid w:val="0"/>
              <w:jc w:val="both"/>
              <w:rPr>
                <w:sz w:val="22"/>
                <w:szCs w:val="22"/>
              </w:rPr>
            </w:pPr>
          </w:p>
        </w:tc>
      </w:tr>
      <w:tr w:rsidR="00C71D1A" w:rsidRPr="00F118EB" w14:paraId="1DE675EB" w14:textId="77777777" w:rsidTr="00E24CCA">
        <w:tc>
          <w:tcPr>
            <w:tcW w:w="715" w:type="dxa"/>
          </w:tcPr>
          <w:p w14:paraId="2E94CCFE" w14:textId="0FA614EC" w:rsidR="00C71D1A" w:rsidRPr="00F118EB" w:rsidRDefault="00C71D1A" w:rsidP="00C71D1A">
            <w:pPr>
              <w:snapToGrid w:val="0"/>
              <w:jc w:val="center"/>
              <w:rPr>
                <w:bCs/>
                <w:sz w:val="22"/>
                <w:szCs w:val="22"/>
                <w:lang w:val="en-GB"/>
              </w:rPr>
            </w:pPr>
            <w:r w:rsidRPr="00F118EB">
              <w:rPr>
                <w:bCs/>
                <w:sz w:val="22"/>
                <w:szCs w:val="22"/>
                <w:lang w:val="en-GB"/>
              </w:rPr>
              <w:t>11</w:t>
            </w:r>
          </w:p>
        </w:tc>
        <w:tc>
          <w:tcPr>
            <w:tcW w:w="1259" w:type="dxa"/>
          </w:tcPr>
          <w:p w14:paraId="1D88F0AF" w14:textId="77777777" w:rsidR="00C71D1A" w:rsidRPr="00F118EB" w:rsidRDefault="00C71D1A" w:rsidP="00C71D1A">
            <w:pPr>
              <w:snapToGrid w:val="0"/>
              <w:jc w:val="center"/>
              <w:rPr>
                <w:b/>
                <w:sz w:val="22"/>
                <w:szCs w:val="22"/>
                <w:lang w:val="en-GB"/>
              </w:rPr>
            </w:pPr>
            <w:r w:rsidRPr="00F118EB">
              <w:rPr>
                <w:b/>
                <w:sz w:val="22"/>
                <w:szCs w:val="22"/>
                <w:lang w:val="en-GB"/>
              </w:rPr>
              <w:t>Phụ lục 55</w:t>
            </w:r>
          </w:p>
        </w:tc>
        <w:tc>
          <w:tcPr>
            <w:tcW w:w="13051" w:type="dxa"/>
            <w:gridSpan w:val="3"/>
          </w:tcPr>
          <w:p w14:paraId="29863D32" w14:textId="77777777" w:rsidR="00C71D1A" w:rsidRPr="00F118EB" w:rsidRDefault="00C71D1A" w:rsidP="00C71D1A">
            <w:pPr>
              <w:snapToGrid w:val="0"/>
              <w:jc w:val="both"/>
              <w:rPr>
                <w:b/>
                <w:sz w:val="22"/>
                <w:szCs w:val="22"/>
                <w:lang w:val="en-GB"/>
              </w:rPr>
            </w:pPr>
            <w:r w:rsidRPr="00F118EB">
              <w:rPr>
                <w:b/>
                <w:sz w:val="22"/>
                <w:szCs w:val="22"/>
                <w:lang w:val="en-GB"/>
              </w:rPr>
              <w:t>Danh mục sản phẩm, bao bì phải được tái chế, quy cách tái chế và lộ trình thực hiện</w:t>
            </w:r>
          </w:p>
        </w:tc>
      </w:tr>
      <w:tr w:rsidR="00C71D1A" w:rsidRPr="00F118EB" w14:paraId="1AB37368" w14:textId="77777777" w:rsidTr="00E24CCA">
        <w:tc>
          <w:tcPr>
            <w:tcW w:w="715" w:type="dxa"/>
          </w:tcPr>
          <w:p w14:paraId="2D46682D" w14:textId="77777777" w:rsidR="00C71D1A" w:rsidRPr="00F118EB" w:rsidRDefault="00C71D1A" w:rsidP="00C71D1A">
            <w:pPr>
              <w:snapToGrid w:val="0"/>
              <w:jc w:val="right"/>
              <w:rPr>
                <w:bCs/>
                <w:sz w:val="22"/>
                <w:szCs w:val="22"/>
                <w:lang w:val="en-GB"/>
              </w:rPr>
            </w:pPr>
          </w:p>
        </w:tc>
        <w:tc>
          <w:tcPr>
            <w:tcW w:w="1259" w:type="dxa"/>
          </w:tcPr>
          <w:p w14:paraId="01175BD8" w14:textId="77777777" w:rsidR="00C71D1A" w:rsidRPr="00F118EB" w:rsidRDefault="00C71D1A" w:rsidP="00C71D1A">
            <w:pPr>
              <w:snapToGrid w:val="0"/>
              <w:jc w:val="both"/>
              <w:rPr>
                <w:bCs/>
                <w:sz w:val="22"/>
                <w:szCs w:val="22"/>
              </w:rPr>
            </w:pPr>
          </w:p>
        </w:tc>
        <w:tc>
          <w:tcPr>
            <w:tcW w:w="4861" w:type="dxa"/>
          </w:tcPr>
          <w:p w14:paraId="782B2A9B" w14:textId="75BED82F" w:rsidR="00C71D1A" w:rsidRPr="00F118EB" w:rsidRDefault="00C71D1A" w:rsidP="00C71D1A">
            <w:pPr>
              <w:snapToGrid w:val="0"/>
              <w:jc w:val="both"/>
              <w:rPr>
                <w:sz w:val="22"/>
                <w:szCs w:val="22"/>
                <w:lang w:val="en-GB"/>
              </w:rPr>
            </w:pPr>
          </w:p>
        </w:tc>
        <w:tc>
          <w:tcPr>
            <w:tcW w:w="4222" w:type="dxa"/>
          </w:tcPr>
          <w:p w14:paraId="7D214561" w14:textId="6D33827C" w:rsidR="00C71D1A" w:rsidRPr="00F118EB" w:rsidRDefault="00C71D1A" w:rsidP="00C71D1A">
            <w:pPr>
              <w:snapToGrid w:val="0"/>
              <w:jc w:val="both"/>
              <w:rPr>
                <w:sz w:val="22"/>
                <w:szCs w:val="22"/>
                <w:lang w:val="vi-VN"/>
              </w:rPr>
            </w:pPr>
            <w:r w:rsidRPr="00F118EB">
              <w:rPr>
                <w:sz w:val="22"/>
                <w:szCs w:val="22"/>
                <w:lang w:val="vi-VN"/>
              </w:rPr>
              <w:t xml:space="preserve">Cột 6 của Phụ lục 55 về quy cách tái chế nêu ra yêu cầu đối với các giải pháp tái chế nhất định. Ví dụ: Đối với giải pháp tái chế thực phẩm và đồ uống sử dụng vật liệu chứa hỗn hợp có thành phần giấy với dung tích trên 100ml để tái chế thành các sản phẩm giấy, như giấy vệ sinh, giấy bìa, hộp giấy, v.v. thì phải </w:t>
            </w:r>
            <w:r w:rsidRPr="00F118EB">
              <w:rPr>
                <w:i/>
                <w:iCs/>
                <w:sz w:val="22"/>
                <w:szCs w:val="22"/>
                <w:u w:val="single"/>
                <w:lang w:val="vi-VN"/>
              </w:rPr>
              <w:t>thu hồi được tối thiểu 80% giấy</w:t>
            </w:r>
            <w:r w:rsidRPr="00F118EB">
              <w:rPr>
                <w:i/>
                <w:iCs/>
                <w:sz w:val="22"/>
                <w:szCs w:val="22"/>
                <w:lang w:val="vi-VN"/>
              </w:rPr>
              <w:t xml:space="preserve"> </w:t>
            </w:r>
            <w:r w:rsidRPr="00F118EB">
              <w:rPr>
                <w:sz w:val="22"/>
                <w:szCs w:val="22"/>
                <w:lang w:val="vi-VN"/>
              </w:rPr>
              <w:t xml:space="preserve">có trong 1 đơn vị sản phẩm dưới dạng sản phẩm giấy. </w:t>
            </w:r>
          </w:p>
          <w:p w14:paraId="006F9367" w14:textId="77777777" w:rsidR="00C71D1A" w:rsidRPr="00F118EB" w:rsidRDefault="00C71D1A" w:rsidP="00C71D1A">
            <w:pPr>
              <w:snapToGrid w:val="0"/>
              <w:jc w:val="both"/>
              <w:rPr>
                <w:sz w:val="22"/>
                <w:szCs w:val="22"/>
                <w:lang w:val="vi-VN"/>
              </w:rPr>
            </w:pPr>
          </w:p>
          <w:p w14:paraId="53767EF4" w14:textId="77777777" w:rsidR="00C71D1A" w:rsidRPr="00F118EB" w:rsidRDefault="00C71D1A" w:rsidP="00C71D1A">
            <w:pPr>
              <w:snapToGrid w:val="0"/>
              <w:jc w:val="both"/>
              <w:rPr>
                <w:sz w:val="22"/>
                <w:szCs w:val="22"/>
                <w:lang w:val="vi-VN"/>
              </w:rPr>
            </w:pPr>
            <w:r w:rsidRPr="00F118EB">
              <w:rPr>
                <w:sz w:val="22"/>
                <w:szCs w:val="22"/>
                <w:lang w:val="vi-VN"/>
              </w:rPr>
              <w:lastRenderedPageBreak/>
              <w:t xml:space="preserve">Theo định nghĩa “tái chế chất thải” tại Điều 3.12 của Dự thảo, “tái chế chất thải” là quá trình sử dụng các giải pháp công nghệ, kỹ thuật để </w:t>
            </w:r>
            <w:r w:rsidRPr="00F118EB">
              <w:rPr>
                <w:i/>
                <w:iCs/>
                <w:sz w:val="22"/>
                <w:szCs w:val="22"/>
                <w:u w:val="single"/>
                <w:lang w:val="vi-VN"/>
              </w:rPr>
              <w:t>thu lại các thành phần có giá trị từ chất thải</w:t>
            </w:r>
            <w:r w:rsidRPr="00F118EB">
              <w:rPr>
                <w:sz w:val="22"/>
                <w:szCs w:val="22"/>
                <w:lang w:val="vi-VN"/>
              </w:rPr>
              <w:t xml:space="preserve">. Như vậy, có thể hiểu tỷ lệ thu hồi tối thiểu các thành phần có giá trị sử dụng như giấy trong ví dụ nêu trên là “tỷ lệ tái chế bắt buộc” hay không? Nếu có thì quy định tại Phụ lục 55 chưa hợp lý vì: </w:t>
            </w:r>
          </w:p>
          <w:p w14:paraId="03F13AC0" w14:textId="77777777" w:rsidR="00C71D1A" w:rsidRPr="00F118EB" w:rsidRDefault="00C71D1A" w:rsidP="00C71D1A">
            <w:pPr>
              <w:snapToGrid w:val="0"/>
              <w:jc w:val="both"/>
              <w:rPr>
                <w:sz w:val="22"/>
                <w:szCs w:val="22"/>
                <w:lang w:val="vi-VN"/>
              </w:rPr>
            </w:pPr>
          </w:p>
          <w:p w14:paraId="58678A1A" w14:textId="77777777" w:rsidR="00C71D1A" w:rsidRPr="00F118EB" w:rsidRDefault="00C71D1A" w:rsidP="00C71D1A">
            <w:pPr>
              <w:pStyle w:val="ListParagraph"/>
              <w:numPr>
                <w:ilvl w:val="0"/>
                <w:numId w:val="20"/>
              </w:numPr>
              <w:snapToGrid w:val="0"/>
              <w:spacing w:line="240" w:lineRule="auto"/>
              <w:ind w:left="350"/>
              <w:rPr>
                <w:sz w:val="22"/>
                <w:szCs w:val="22"/>
                <w:lang w:val="vi-VN"/>
              </w:rPr>
            </w:pPr>
            <w:r w:rsidRPr="00F118EB">
              <w:rPr>
                <w:sz w:val="22"/>
                <w:szCs w:val="22"/>
                <w:lang w:val="vi-VN"/>
              </w:rPr>
              <w:t>Theo Điều 88 của Dự thảo, tỷ lệ tái chế bắt buộc (R) sẽ được Văn phòng EPR Việt Nam xác định và đề xuất dựa trên tỷ lệ tái chế thực tế (Ra) của từng loại sản phẩm sau khi đã khảo sát thực tế, tham vấn tổ chức, cá nhân có liên quan; và</w:t>
            </w:r>
          </w:p>
          <w:p w14:paraId="1729E3AF" w14:textId="77777777" w:rsidR="00C71D1A" w:rsidRPr="00F118EB" w:rsidRDefault="00C71D1A" w:rsidP="00C71D1A">
            <w:pPr>
              <w:pStyle w:val="ListParagraph"/>
              <w:snapToGrid w:val="0"/>
              <w:spacing w:line="240" w:lineRule="auto"/>
              <w:ind w:left="350"/>
              <w:rPr>
                <w:sz w:val="22"/>
                <w:szCs w:val="22"/>
                <w:lang w:val="vi-VN"/>
              </w:rPr>
            </w:pPr>
          </w:p>
          <w:p w14:paraId="3D107B0E" w14:textId="77777777" w:rsidR="00C71D1A" w:rsidRPr="00F118EB" w:rsidRDefault="00C71D1A" w:rsidP="00C71D1A">
            <w:pPr>
              <w:pStyle w:val="ListParagraph"/>
              <w:numPr>
                <w:ilvl w:val="0"/>
                <w:numId w:val="20"/>
              </w:numPr>
              <w:snapToGrid w:val="0"/>
              <w:spacing w:line="240" w:lineRule="auto"/>
              <w:ind w:left="350"/>
              <w:rPr>
                <w:sz w:val="22"/>
                <w:szCs w:val="22"/>
                <w:lang w:val="vi-VN"/>
              </w:rPr>
            </w:pPr>
            <w:r w:rsidRPr="00F118EB">
              <w:rPr>
                <w:sz w:val="22"/>
                <w:szCs w:val="22"/>
                <w:lang w:val="vi-VN"/>
              </w:rPr>
              <w:t xml:space="preserve">Tỷ lệ tái chế thực tế (Ra) của từng loại sản phẩm được xác định theo công thức dựa trên hệ số thải sản phẩm, bao bì (D) và hệ số thu gom sản phẩm, bao bì (T) (chưa được Bộ Tài nguyên và Môi trường ban hành).  </w:t>
            </w:r>
          </w:p>
          <w:p w14:paraId="3C4D90B1" w14:textId="77777777" w:rsidR="00C71D1A" w:rsidRPr="00F118EB" w:rsidRDefault="00C71D1A" w:rsidP="00C71D1A">
            <w:pPr>
              <w:snapToGrid w:val="0"/>
              <w:jc w:val="both"/>
              <w:rPr>
                <w:sz w:val="22"/>
                <w:szCs w:val="22"/>
                <w:lang w:val="vi-VN"/>
              </w:rPr>
            </w:pPr>
          </w:p>
          <w:p w14:paraId="06B4B085" w14:textId="77777777" w:rsidR="00C71D1A" w:rsidRPr="00F118EB" w:rsidRDefault="00C71D1A" w:rsidP="00C71D1A">
            <w:pPr>
              <w:snapToGrid w:val="0"/>
              <w:jc w:val="both"/>
              <w:rPr>
                <w:sz w:val="22"/>
                <w:szCs w:val="22"/>
                <w:lang w:val="vi-VN"/>
              </w:rPr>
            </w:pPr>
            <w:r w:rsidRPr="00F118EB">
              <w:rPr>
                <w:sz w:val="22"/>
                <w:szCs w:val="22"/>
                <w:lang w:val="vi-VN"/>
              </w:rPr>
              <w:t xml:space="preserve">Do đó, khi (D) và (T) chưa được ban hành cụ thể thì việc xác định tỷ lệ tái chế bắt buộc ở giai đoạn này là chưa phù hợp với quy định tại Điều 88 của Dự thảo. </w:t>
            </w:r>
          </w:p>
          <w:p w14:paraId="0B69E671" w14:textId="5CE4861A" w:rsidR="00C71D1A" w:rsidRPr="00F118EB" w:rsidRDefault="00C71D1A" w:rsidP="00C71D1A">
            <w:pPr>
              <w:snapToGrid w:val="0"/>
              <w:jc w:val="both"/>
              <w:rPr>
                <w:bCs/>
                <w:sz w:val="22"/>
                <w:szCs w:val="22"/>
                <w:lang w:val="vi-VN" w:eastAsia="x-none"/>
              </w:rPr>
            </w:pPr>
          </w:p>
        </w:tc>
        <w:tc>
          <w:tcPr>
            <w:tcW w:w="3968" w:type="dxa"/>
          </w:tcPr>
          <w:p w14:paraId="2ADD893A" w14:textId="77777777" w:rsidR="00C71D1A" w:rsidRPr="00F118EB" w:rsidRDefault="00C71D1A" w:rsidP="00C71D1A">
            <w:pPr>
              <w:snapToGrid w:val="0"/>
              <w:jc w:val="both"/>
              <w:rPr>
                <w:sz w:val="22"/>
                <w:szCs w:val="22"/>
                <w:lang w:val="vi-VN"/>
              </w:rPr>
            </w:pPr>
            <w:r w:rsidRPr="00F118EB">
              <w:rPr>
                <w:sz w:val="22"/>
                <w:szCs w:val="22"/>
                <w:lang w:val="vi-VN"/>
              </w:rPr>
              <w:lastRenderedPageBreak/>
              <w:t xml:space="preserve">Đề xuất làm rõ khái niệm “tỷ lệ tối thiểu” tại Phụ lục 55 (có liên quan đến “tỷ lệ tái chế bắt buộc” hay không). </w:t>
            </w:r>
          </w:p>
          <w:p w14:paraId="0FE6419A" w14:textId="77777777" w:rsidR="00C71D1A" w:rsidRPr="00F118EB" w:rsidRDefault="00C71D1A" w:rsidP="00C71D1A">
            <w:pPr>
              <w:snapToGrid w:val="0"/>
              <w:jc w:val="both"/>
              <w:rPr>
                <w:sz w:val="22"/>
                <w:szCs w:val="22"/>
                <w:lang w:val="vi-VN"/>
              </w:rPr>
            </w:pPr>
          </w:p>
          <w:p w14:paraId="4AE57807" w14:textId="77777777" w:rsidR="00C71D1A" w:rsidRPr="00F118EB" w:rsidRDefault="00C71D1A" w:rsidP="00C71D1A">
            <w:pPr>
              <w:snapToGrid w:val="0"/>
              <w:jc w:val="both"/>
              <w:rPr>
                <w:sz w:val="22"/>
                <w:szCs w:val="22"/>
                <w:lang w:val="vi-VN"/>
              </w:rPr>
            </w:pPr>
            <w:r w:rsidRPr="00F118EB">
              <w:rPr>
                <w:sz w:val="22"/>
                <w:szCs w:val="22"/>
                <w:lang w:val="vi-VN"/>
              </w:rPr>
              <w:t xml:space="preserve">Ngoài ra, việc quy định “tỷ lệ tối thiểu” tại Phụ lục 55 cũng phải cân nhắc kỹ các yếu tố như trình độ, điều kiện và cơ sở vật chất về tái chế của các tổ chức tại Việt Nam, cũng như “tỷ lệ tối thiểu” ở các quốc gia khác có điều kiện kinh tế tương đồng với </w:t>
            </w:r>
            <w:r w:rsidRPr="00F118EB">
              <w:rPr>
                <w:sz w:val="22"/>
                <w:szCs w:val="22"/>
                <w:lang w:val="vi-VN"/>
              </w:rPr>
              <w:lastRenderedPageBreak/>
              <w:t>Việt Nam, để tránh tình trạng quy định tỷ lệ quá cao và doanh nghiệp không thể tuân thủ.</w:t>
            </w:r>
          </w:p>
          <w:p w14:paraId="1160A5FA" w14:textId="77777777" w:rsidR="00C71D1A" w:rsidRPr="00F118EB" w:rsidRDefault="00C71D1A" w:rsidP="00C71D1A">
            <w:pPr>
              <w:snapToGrid w:val="0"/>
              <w:jc w:val="both"/>
              <w:rPr>
                <w:sz w:val="22"/>
                <w:szCs w:val="22"/>
                <w:lang w:val="vi-VN"/>
              </w:rPr>
            </w:pPr>
          </w:p>
          <w:p w14:paraId="78BA35EB" w14:textId="4F7E9132" w:rsidR="00C71D1A" w:rsidRPr="00F118EB" w:rsidRDefault="00C71D1A" w:rsidP="00C71D1A">
            <w:pPr>
              <w:snapToGrid w:val="0"/>
              <w:jc w:val="both"/>
              <w:rPr>
                <w:sz w:val="22"/>
                <w:szCs w:val="22"/>
                <w:lang w:val="vi-VN"/>
              </w:rPr>
            </w:pPr>
            <w:r w:rsidRPr="00F118EB">
              <w:rPr>
                <w:sz w:val="22"/>
                <w:szCs w:val="22"/>
                <w:lang w:val="vi-VN"/>
              </w:rPr>
              <w:t>Ví dụ</w:t>
            </w:r>
            <w:r w:rsidRPr="00F118EB">
              <w:rPr>
                <w:sz w:val="22"/>
                <w:szCs w:val="22"/>
              </w:rPr>
              <w:t>:</w:t>
            </w:r>
            <w:r w:rsidRPr="00F118EB">
              <w:rPr>
                <w:sz w:val="22"/>
                <w:szCs w:val="22"/>
                <w:lang w:val="vi-VN"/>
              </w:rPr>
              <w:t xml:space="preserve"> </w:t>
            </w:r>
            <w:r w:rsidRPr="00F118EB">
              <w:rPr>
                <w:sz w:val="22"/>
                <w:szCs w:val="22"/>
              </w:rPr>
              <w:t>T</w:t>
            </w:r>
            <w:r w:rsidRPr="00F118EB">
              <w:rPr>
                <w:sz w:val="22"/>
                <w:szCs w:val="22"/>
                <w:lang w:val="vi-VN"/>
              </w:rPr>
              <w:t xml:space="preserve">rong </w:t>
            </w:r>
            <w:r w:rsidRPr="00F118EB">
              <w:rPr>
                <w:sz w:val="22"/>
                <w:szCs w:val="22"/>
              </w:rPr>
              <w:t>ba (0</w:t>
            </w:r>
            <w:r w:rsidRPr="00F118EB">
              <w:rPr>
                <w:sz w:val="22"/>
                <w:szCs w:val="22"/>
                <w:lang w:val="vi-VN"/>
              </w:rPr>
              <w:t>3</w:t>
            </w:r>
            <w:r w:rsidRPr="00F118EB">
              <w:rPr>
                <w:sz w:val="22"/>
                <w:szCs w:val="22"/>
              </w:rPr>
              <w:t>)</w:t>
            </w:r>
            <w:r w:rsidRPr="00F118EB">
              <w:rPr>
                <w:sz w:val="22"/>
                <w:szCs w:val="22"/>
                <w:lang w:val="vi-VN"/>
              </w:rPr>
              <w:t xml:space="preserve"> năm đầu tiên thì tỷ lệ thu gom và tỷ lệ tái chế bắt buộc ở mức 40% tăng dần theo thời gian, 3 năm tăng 1 lần, mỗi lần không quá 5%. Điều này là phù hợp với lộ trình của quá trình thiết lập hệ thống thu gom bao bì và xây dựng dây chuyền tái chế rác thải của các doanh nghiệp. Các doanh nghiệp sản xuất dù tự xây dựng dây chuyền tái chế hay các doanh nghiệp chuyên đầu tư xây dựng các nhà máy tái chế cũng cần ít nhất 2-3 năm để hoàn tất việc xây dựng và đưa các nhà máy tái chế vào hoạt động. Giai đoạn đầu mới hoạt động thì do công nghệ và việc vận hành chạy thử chưa thể đạt mức 80% như Phụ lụ 55 đưa ra. Cần quy định mức tái chế thấp cho giai đoạn đầu mới thực hiện, như đề xuất ở trên.</w:t>
            </w:r>
          </w:p>
        </w:tc>
      </w:tr>
      <w:tr w:rsidR="00C71D1A" w:rsidRPr="00F118EB" w14:paraId="16037770" w14:textId="77777777" w:rsidTr="00E24CCA">
        <w:tc>
          <w:tcPr>
            <w:tcW w:w="715" w:type="dxa"/>
          </w:tcPr>
          <w:p w14:paraId="608DBC3A" w14:textId="77777777" w:rsidR="00C71D1A" w:rsidRPr="00F118EB" w:rsidRDefault="00C71D1A" w:rsidP="00C71D1A">
            <w:pPr>
              <w:snapToGrid w:val="0"/>
              <w:jc w:val="right"/>
              <w:rPr>
                <w:bCs/>
                <w:sz w:val="22"/>
                <w:szCs w:val="22"/>
                <w:lang w:val="vi-VN"/>
              </w:rPr>
            </w:pPr>
          </w:p>
        </w:tc>
        <w:tc>
          <w:tcPr>
            <w:tcW w:w="1259" w:type="dxa"/>
          </w:tcPr>
          <w:p w14:paraId="387AF781" w14:textId="68346629" w:rsidR="00C71D1A" w:rsidRPr="00F118EB" w:rsidRDefault="00C71D1A" w:rsidP="00C71D1A">
            <w:pPr>
              <w:snapToGrid w:val="0"/>
              <w:jc w:val="center"/>
              <w:rPr>
                <w:bCs/>
                <w:sz w:val="22"/>
                <w:szCs w:val="22"/>
              </w:rPr>
            </w:pPr>
            <w:r w:rsidRPr="00F118EB">
              <w:rPr>
                <w:bCs/>
                <w:sz w:val="22"/>
                <w:szCs w:val="22"/>
              </w:rPr>
              <w:t>G1.1</w:t>
            </w:r>
          </w:p>
        </w:tc>
        <w:tc>
          <w:tcPr>
            <w:tcW w:w="4861" w:type="dxa"/>
          </w:tcPr>
          <w:p w14:paraId="6075E20F" w14:textId="45950228" w:rsidR="00C71D1A" w:rsidRPr="00F118EB" w:rsidRDefault="00C71D1A" w:rsidP="00C71D1A">
            <w:pPr>
              <w:snapToGrid w:val="0"/>
              <w:jc w:val="both"/>
              <w:rPr>
                <w:sz w:val="22"/>
                <w:szCs w:val="22"/>
                <w:lang w:val="en-GB"/>
              </w:rPr>
            </w:pPr>
            <w:r w:rsidRPr="00F118EB">
              <w:rPr>
                <w:sz w:val="22"/>
                <w:szCs w:val="22"/>
                <w:lang w:val="en-GB"/>
              </w:rPr>
              <w:t>Phân nhóm G1.1 “</w:t>
            </w:r>
            <w:r w:rsidRPr="00F118EB">
              <w:rPr>
                <w:sz w:val="22"/>
                <w:szCs w:val="22"/>
              </w:rPr>
              <w:t>Thực phẩm và đồ uống sử dụng vật liệu chứa hỗn hợp có thành phần giấy với dung tích trên 100 ml.”</w:t>
            </w:r>
          </w:p>
        </w:tc>
        <w:tc>
          <w:tcPr>
            <w:tcW w:w="4222" w:type="dxa"/>
            <w:vMerge w:val="restart"/>
          </w:tcPr>
          <w:p w14:paraId="3496B165" w14:textId="77777777" w:rsidR="00C71D1A" w:rsidRPr="00F118EB" w:rsidRDefault="00C71D1A" w:rsidP="00C71D1A">
            <w:pPr>
              <w:snapToGrid w:val="0"/>
              <w:jc w:val="both"/>
              <w:rPr>
                <w:bCs/>
                <w:sz w:val="22"/>
                <w:szCs w:val="22"/>
                <w:lang w:eastAsia="x-none"/>
              </w:rPr>
            </w:pPr>
            <w:r w:rsidRPr="00F118EB">
              <w:rPr>
                <w:bCs/>
                <w:sz w:val="22"/>
                <w:szCs w:val="22"/>
                <w:lang w:eastAsia="x-none"/>
              </w:rPr>
              <w:t>Trên thực tế, bao bì giấy bằng thùng carton, không cán nhựa, và bao bì kim loại nhôm có giá trị thương mại cao, dễ thu gom (tỷ lệ gần như 100%), ít gây độc hại, ảnh hưởng tới môi trường.</w:t>
            </w:r>
          </w:p>
          <w:p w14:paraId="14205230" w14:textId="77777777" w:rsidR="00C71D1A" w:rsidRPr="00F118EB" w:rsidRDefault="00C71D1A" w:rsidP="00C71D1A">
            <w:pPr>
              <w:snapToGrid w:val="0"/>
              <w:jc w:val="both"/>
              <w:rPr>
                <w:bCs/>
                <w:sz w:val="22"/>
                <w:szCs w:val="22"/>
                <w:lang w:eastAsia="x-none"/>
              </w:rPr>
            </w:pPr>
          </w:p>
          <w:p w14:paraId="256E3D41" w14:textId="36FDB924" w:rsidR="00C71D1A" w:rsidRPr="00F118EB" w:rsidRDefault="00C71D1A" w:rsidP="00C71D1A">
            <w:pPr>
              <w:snapToGrid w:val="0"/>
              <w:jc w:val="both"/>
              <w:rPr>
                <w:bCs/>
                <w:sz w:val="22"/>
                <w:szCs w:val="22"/>
                <w:lang w:eastAsia="x-none"/>
              </w:rPr>
            </w:pPr>
            <w:r w:rsidRPr="00F118EB">
              <w:rPr>
                <w:bCs/>
                <w:sz w:val="22"/>
                <w:szCs w:val="22"/>
                <w:lang w:eastAsia="x-none"/>
              </w:rPr>
              <w:t xml:space="preserve">Ban soạn thảo nên xem lại tỷ lệ thu hồi cho phù hợp với công nghệ hiện tái chế hiện có ở Việt Nam, và cần có khảo sát thực tiễn để </w:t>
            </w:r>
            <w:r w:rsidRPr="00F118EB">
              <w:rPr>
                <w:bCs/>
                <w:sz w:val="22"/>
                <w:szCs w:val="22"/>
                <w:lang w:eastAsia="x-none"/>
              </w:rPr>
              <w:lastRenderedPageBreak/>
              <w:t>quyết định tỷ lệ thu hồi đối với từng loại sản phẩm, bao bì</w:t>
            </w:r>
          </w:p>
        </w:tc>
        <w:tc>
          <w:tcPr>
            <w:tcW w:w="3968" w:type="dxa"/>
          </w:tcPr>
          <w:p w14:paraId="1130BE5C" w14:textId="2D929B0F" w:rsidR="00C71D1A" w:rsidRPr="00F118EB" w:rsidRDefault="00C71D1A" w:rsidP="00C71D1A">
            <w:pPr>
              <w:snapToGrid w:val="0"/>
              <w:jc w:val="both"/>
              <w:rPr>
                <w:spacing w:val="-6"/>
                <w:sz w:val="22"/>
                <w:szCs w:val="22"/>
              </w:rPr>
            </w:pPr>
            <w:r w:rsidRPr="00F118EB">
              <w:rPr>
                <w:spacing w:val="-6"/>
                <w:sz w:val="22"/>
                <w:szCs w:val="22"/>
              </w:rPr>
              <w:lastRenderedPageBreak/>
              <w:t>Sửa phân nhóm G1.1 thành “Thực phẩm và đồ uống sử dụng vật liệu chứa hỗn hợp có thành phần giấy với dung tích trên 100 ml</w:t>
            </w:r>
            <w:r w:rsidRPr="00F118EB">
              <w:rPr>
                <w:i/>
                <w:spacing w:val="-6"/>
                <w:sz w:val="22"/>
                <w:szCs w:val="22"/>
              </w:rPr>
              <w:t>, trừ bao bì giấy bằng thùng carton, không cán nhựa”.</w:t>
            </w:r>
          </w:p>
        </w:tc>
      </w:tr>
      <w:tr w:rsidR="00C71D1A" w:rsidRPr="00F118EB" w14:paraId="4C7D9A29" w14:textId="77777777" w:rsidTr="00E24CCA">
        <w:tc>
          <w:tcPr>
            <w:tcW w:w="715" w:type="dxa"/>
          </w:tcPr>
          <w:p w14:paraId="715F1A25" w14:textId="77777777" w:rsidR="00C71D1A" w:rsidRPr="00F118EB" w:rsidRDefault="00C71D1A" w:rsidP="00C71D1A">
            <w:pPr>
              <w:snapToGrid w:val="0"/>
              <w:jc w:val="right"/>
              <w:rPr>
                <w:bCs/>
                <w:sz w:val="22"/>
                <w:szCs w:val="22"/>
                <w:lang w:val="en-GB"/>
              </w:rPr>
            </w:pPr>
          </w:p>
        </w:tc>
        <w:tc>
          <w:tcPr>
            <w:tcW w:w="1259" w:type="dxa"/>
          </w:tcPr>
          <w:p w14:paraId="687AF493" w14:textId="6D5CCB09" w:rsidR="00C71D1A" w:rsidRPr="00F118EB" w:rsidRDefault="00C71D1A" w:rsidP="00C71D1A">
            <w:pPr>
              <w:snapToGrid w:val="0"/>
              <w:jc w:val="center"/>
              <w:rPr>
                <w:bCs/>
                <w:sz w:val="22"/>
                <w:szCs w:val="22"/>
              </w:rPr>
            </w:pPr>
            <w:r w:rsidRPr="00F118EB">
              <w:rPr>
                <w:bCs/>
                <w:sz w:val="22"/>
                <w:szCs w:val="22"/>
              </w:rPr>
              <w:t>G1.2</w:t>
            </w:r>
          </w:p>
        </w:tc>
        <w:tc>
          <w:tcPr>
            <w:tcW w:w="4861" w:type="dxa"/>
          </w:tcPr>
          <w:p w14:paraId="5005A469" w14:textId="77777777" w:rsidR="00C71D1A" w:rsidRPr="00F118EB" w:rsidRDefault="00C71D1A" w:rsidP="00C71D1A">
            <w:pPr>
              <w:snapToGrid w:val="0"/>
              <w:jc w:val="both"/>
              <w:rPr>
                <w:sz w:val="22"/>
                <w:szCs w:val="22"/>
                <w:lang w:val="en-GB"/>
              </w:rPr>
            </w:pPr>
            <w:r w:rsidRPr="00F118EB">
              <w:rPr>
                <w:sz w:val="22"/>
                <w:szCs w:val="22"/>
                <w:lang w:val="en-GB"/>
              </w:rPr>
              <w:t>Phân nhóm G1.2 “</w:t>
            </w:r>
            <w:r w:rsidRPr="00F118EB">
              <w:rPr>
                <w:sz w:val="22"/>
                <w:szCs w:val="22"/>
              </w:rPr>
              <w:t>Thực phẩm và đồ uống sử dụng vật liệu chứa bằng kim loại với dung tích trên 300 ml”</w:t>
            </w:r>
          </w:p>
        </w:tc>
        <w:tc>
          <w:tcPr>
            <w:tcW w:w="4222" w:type="dxa"/>
            <w:vMerge/>
          </w:tcPr>
          <w:p w14:paraId="03813766" w14:textId="77777777" w:rsidR="00C71D1A" w:rsidRPr="00F118EB" w:rsidRDefault="00C71D1A" w:rsidP="00C71D1A">
            <w:pPr>
              <w:snapToGrid w:val="0"/>
              <w:jc w:val="both"/>
              <w:rPr>
                <w:bCs/>
                <w:sz w:val="22"/>
                <w:szCs w:val="22"/>
                <w:lang w:eastAsia="x-none"/>
              </w:rPr>
            </w:pPr>
          </w:p>
        </w:tc>
        <w:tc>
          <w:tcPr>
            <w:tcW w:w="3968" w:type="dxa"/>
          </w:tcPr>
          <w:p w14:paraId="0F370313" w14:textId="77777777" w:rsidR="00C71D1A" w:rsidRPr="00F118EB" w:rsidRDefault="00C71D1A" w:rsidP="00C71D1A">
            <w:pPr>
              <w:snapToGrid w:val="0"/>
              <w:jc w:val="both"/>
              <w:rPr>
                <w:spacing w:val="-6"/>
                <w:sz w:val="22"/>
                <w:szCs w:val="22"/>
              </w:rPr>
            </w:pPr>
            <w:r w:rsidRPr="00F118EB">
              <w:rPr>
                <w:spacing w:val="-6"/>
                <w:sz w:val="22"/>
                <w:szCs w:val="22"/>
              </w:rPr>
              <w:t>Bỏ phân nhóm G1.2 hoặc sửa thành “Thực phẩm và đồ uống sử dụng vật liệu chứa bằng kim loại không bao gồm nhôm”.</w:t>
            </w:r>
          </w:p>
        </w:tc>
      </w:tr>
      <w:tr w:rsidR="00C71D1A" w:rsidRPr="00F118EB" w14:paraId="10038F56" w14:textId="77777777" w:rsidTr="00E24CCA">
        <w:tc>
          <w:tcPr>
            <w:tcW w:w="715" w:type="dxa"/>
          </w:tcPr>
          <w:p w14:paraId="05E0C404" w14:textId="7104013C" w:rsidR="00C71D1A" w:rsidRPr="00F118EB" w:rsidRDefault="00C71D1A" w:rsidP="00C71D1A">
            <w:pPr>
              <w:ind w:left="-20"/>
              <w:jc w:val="center"/>
              <w:rPr>
                <w:sz w:val="22"/>
                <w:szCs w:val="22"/>
              </w:rPr>
            </w:pPr>
            <w:r w:rsidRPr="00F118EB">
              <w:rPr>
                <w:sz w:val="22"/>
                <w:szCs w:val="22"/>
              </w:rPr>
              <w:t>12</w:t>
            </w:r>
          </w:p>
        </w:tc>
        <w:tc>
          <w:tcPr>
            <w:tcW w:w="1259" w:type="dxa"/>
          </w:tcPr>
          <w:p w14:paraId="1ACC7505" w14:textId="3726D944" w:rsidR="00C71D1A" w:rsidRPr="00F118EB" w:rsidRDefault="00C71D1A" w:rsidP="00C71D1A">
            <w:pPr>
              <w:ind w:left="1"/>
              <w:jc w:val="center"/>
              <w:rPr>
                <w:bCs/>
                <w:sz w:val="22"/>
                <w:szCs w:val="22"/>
                <w:lang w:val="en-GB"/>
              </w:rPr>
            </w:pPr>
            <w:r w:rsidRPr="00F118EB">
              <w:rPr>
                <w:b/>
                <w:sz w:val="22"/>
                <w:szCs w:val="22"/>
                <w:lang w:val="en-GB"/>
              </w:rPr>
              <w:t>Điều 176</w:t>
            </w:r>
            <w:r w:rsidRPr="00F118EB">
              <w:rPr>
                <w:bCs/>
                <w:sz w:val="22"/>
                <w:szCs w:val="22"/>
                <w:lang w:val="en-GB"/>
              </w:rPr>
              <w:t xml:space="preserve"> Khoản 2</w:t>
            </w:r>
          </w:p>
        </w:tc>
        <w:tc>
          <w:tcPr>
            <w:tcW w:w="4861" w:type="dxa"/>
          </w:tcPr>
          <w:p w14:paraId="30B1F0B2" w14:textId="330AACA6" w:rsidR="00C71D1A" w:rsidRPr="00F118EB" w:rsidRDefault="00C71D1A" w:rsidP="00C71D1A">
            <w:pPr>
              <w:ind w:left="76"/>
              <w:jc w:val="both"/>
              <w:rPr>
                <w:sz w:val="22"/>
                <w:szCs w:val="22"/>
              </w:rPr>
            </w:pPr>
            <w:r w:rsidRPr="00F118EB">
              <w:rPr>
                <w:bCs/>
                <w:iCs/>
                <w:sz w:val="22"/>
                <w:szCs w:val="22"/>
              </w:rPr>
              <w:t>Bộ Tài nguyên và Môi trường thực hiện việc ký và công bố các nội dung thỏa thuận công nhận lẫn nhau việc chứng nhận sản phẩm, dịch vụ được chứng nhận Nhãn sinh thái Việt Nam với các tổ chức chứng nhận nhãn sinh thái quốc tế.</w:t>
            </w:r>
          </w:p>
        </w:tc>
        <w:tc>
          <w:tcPr>
            <w:tcW w:w="4222" w:type="dxa"/>
          </w:tcPr>
          <w:p w14:paraId="226C4929" w14:textId="77777777" w:rsidR="00F118EB" w:rsidRPr="00F118EB" w:rsidRDefault="00F118EB" w:rsidP="00C71D1A">
            <w:pPr>
              <w:snapToGrid w:val="0"/>
              <w:rPr>
                <w:sz w:val="22"/>
                <w:szCs w:val="22"/>
                <w:lang w:val="en-GB"/>
              </w:rPr>
            </w:pPr>
            <w:r w:rsidRPr="00F118EB">
              <w:rPr>
                <w:sz w:val="22"/>
                <w:szCs w:val="22"/>
                <w:lang w:val="en-GB"/>
              </w:rPr>
              <w:t>Đây là một loại giấy phép con bất hợp lý.</w:t>
            </w:r>
          </w:p>
          <w:p w14:paraId="207D0858" w14:textId="3872AD3A" w:rsidR="00C71D1A" w:rsidRPr="00F118EB" w:rsidRDefault="00C71D1A" w:rsidP="00C71D1A">
            <w:pPr>
              <w:snapToGrid w:val="0"/>
              <w:rPr>
                <w:sz w:val="22"/>
                <w:szCs w:val="22"/>
                <w:lang w:val="en-GB"/>
              </w:rPr>
            </w:pPr>
            <w:r w:rsidRPr="00F118EB">
              <w:rPr>
                <w:sz w:val="22"/>
                <w:szCs w:val="22"/>
                <w:lang w:val="en-GB"/>
              </w:rPr>
              <w:t>Đề nghị Bộ TNMT làm rõ thủ tục công nhận lẫn nhau về chứng nhận nhãn sinh thái quốc tế.</w:t>
            </w:r>
          </w:p>
          <w:p w14:paraId="77B5DE66" w14:textId="77777777" w:rsidR="00C71D1A" w:rsidRPr="00F118EB" w:rsidRDefault="00C71D1A" w:rsidP="00C71D1A">
            <w:pPr>
              <w:snapToGrid w:val="0"/>
              <w:rPr>
                <w:sz w:val="22"/>
                <w:szCs w:val="22"/>
                <w:lang w:val="en-GB"/>
              </w:rPr>
            </w:pPr>
          </w:p>
          <w:p w14:paraId="356BB920" w14:textId="563EAE33" w:rsidR="00F118EB" w:rsidRPr="00F118EB" w:rsidRDefault="00C71D1A" w:rsidP="00C71D1A">
            <w:pPr>
              <w:snapToGrid w:val="0"/>
              <w:jc w:val="both"/>
              <w:rPr>
                <w:sz w:val="22"/>
                <w:szCs w:val="22"/>
                <w:lang w:val="en-GB"/>
              </w:rPr>
            </w:pPr>
            <w:r w:rsidRPr="00F118EB">
              <w:rPr>
                <w:sz w:val="22"/>
                <w:szCs w:val="22"/>
                <w:lang w:val="en-GB"/>
              </w:rPr>
              <w:t>Ví dụ: Biểu tượng "Eco- friendly" đã được sử dụng tại Newzeland và đã được in trên bao bì sản phẩm lưu hành tại Newzeland. Nếu sản phẩm đó xuất sang Việt Nam thì doanh nghiệp sẽ phải làm thủ tục gì với Bộ Tài nguyên và Môi trường để được Bộ công nhận và cho phép sử dụng biểu tượng "Eco- friendly" này.</w:t>
            </w:r>
          </w:p>
        </w:tc>
        <w:tc>
          <w:tcPr>
            <w:tcW w:w="3968" w:type="dxa"/>
          </w:tcPr>
          <w:p w14:paraId="4A818F1E" w14:textId="77777777" w:rsidR="00F118EB" w:rsidRPr="00F118EB" w:rsidRDefault="00F118EB" w:rsidP="00C71D1A">
            <w:pPr>
              <w:snapToGrid w:val="0"/>
              <w:jc w:val="both"/>
              <w:rPr>
                <w:sz w:val="22"/>
                <w:szCs w:val="22"/>
              </w:rPr>
            </w:pPr>
            <w:r w:rsidRPr="00F118EB">
              <w:rPr>
                <w:sz w:val="22"/>
                <w:szCs w:val="22"/>
              </w:rPr>
              <w:t>Bỏ yêu cầu giấy phép con này.</w:t>
            </w:r>
          </w:p>
          <w:p w14:paraId="0A6919CC" w14:textId="73DB98CB" w:rsidR="00C71D1A" w:rsidRPr="00F118EB" w:rsidRDefault="00C71D1A" w:rsidP="00C71D1A">
            <w:pPr>
              <w:snapToGrid w:val="0"/>
              <w:jc w:val="both"/>
              <w:rPr>
                <w:sz w:val="22"/>
                <w:szCs w:val="22"/>
              </w:rPr>
            </w:pPr>
            <w:r w:rsidRPr="00F118EB">
              <w:rPr>
                <w:sz w:val="22"/>
                <w:szCs w:val="22"/>
              </w:rPr>
              <w:t xml:space="preserve">Cho phép doanh nghiệp sử dụng biểu tượng nhãn sinh thái do các quốc gia khác đã cấp trên bao bì của hàng nhập khẩu. </w:t>
            </w:r>
          </w:p>
          <w:p w14:paraId="7D0F67FE" w14:textId="77777777" w:rsidR="00C71D1A" w:rsidRPr="00F118EB" w:rsidRDefault="00C71D1A" w:rsidP="00C71D1A">
            <w:pPr>
              <w:snapToGrid w:val="0"/>
              <w:jc w:val="both"/>
              <w:rPr>
                <w:sz w:val="22"/>
                <w:szCs w:val="22"/>
              </w:rPr>
            </w:pPr>
          </w:p>
          <w:p w14:paraId="00A9E003" w14:textId="7D1D95DA" w:rsidR="00C71D1A" w:rsidRPr="00F118EB" w:rsidRDefault="00C71D1A" w:rsidP="00C71D1A">
            <w:pPr>
              <w:jc w:val="both"/>
              <w:rPr>
                <w:sz w:val="22"/>
                <w:szCs w:val="22"/>
              </w:rPr>
            </w:pPr>
            <w:r w:rsidRPr="00F118EB">
              <w:rPr>
                <w:sz w:val="22"/>
                <w:szCs w:val="22"/>
              </w:rPr>
              <w:t>Doanh nghiệp sẽ không phải làm thủ tục đăng ký với Bộ Tài nguyên và Môi trường về việc sử dụng biểu tượng nhãn sinh thái do các quốc gia khác đã cấp. Tuy nhiên doanh nghiệp phải có tài liệu chứng minh về việc cấp này để phục vụ cho việc hậu kiểm.</w:t>
            </w:r>
          </w:p>
        </w:tc>
      </w:tr>
      <w:tr w:rsidR="00FB4185" w:rsidRPr="00F118EB" w14:paraId="18AC2673" w14:textId="77777777" w:rsidTr="00CF12A0">
        <w:tc>
          <w:tcPr>
            <w:tcW w:w="715" w:type="dxa"/>
          </w:tcPr>
          <w:p w14:paraId="0FFECDB0" w14:textId="3BE9A745" w:rsidR="00FB4185" w:rsidRPr="00FB4185" w:rsidRDefault="00FB4185" w:rsidP="00CF12A0">
            <w:pPr>
              <w:ind w:left="-20"/>
              <w:jc w:val="center"/>
              <w:rPr>
                <w:sz w:val="22"/>
                <w:szCs w:val="22"/>
              </w:rPr>
            </w:pPr>
            <w:r w:rsidRPr="00FB4185">
              <w:rPr>
                <w:sz w:val="22"/>
                <w:szCs w:val="22"/>
              </w:rPr>
              <w:t>1</w:t>
            </w:r>
            <w:r w:rsidRPr="00FB4185">
              <w:rPr>
                <w:sz w:val="22"/>
                <w:szCs w:val="22"/>
              </w:rPr>
              <w:t>3</w:t>
            </w:r>
          </w:p>
        </w:tc>
        <w:tc>
          <w:tcPr>
            <w:tcW w:w="1259" w:type="dxa"/>
          </w:tcPr>
          <w:p w14:paraId="3D258E10" w14:textId="5507BD75" w:rsidR="00FB4185" w:rsidRPr="00FB4185" w:rsidRDefault="00FB4185" w:rsidP="00CF12A0">
            <w:pPr>
              <w:ind w:left="1"/>
              <w:jc w:val="center"/>
              <w:rPr>
                <w:bCs/>
                <w:sz w:val="22"/>
                <w:szCs w:val="22"/>
                <w:lang w:val="en-GB"/>
              </w:rPr>
            </w:pPr>
            <w:r w:rsidRPr="00FB4185">
              <w:rPr>
                <w:b/>
                <w:sz w:val="22"/>
                <w:szCs w:val="22"/>
                <w:lang w:val="en-GB"/>
              </w:rPr>
              <w:t>Điều 1</w:t>
            </w:r>
            <w:r w:rsidRPr="00FB4185">
              <w:rPr>
                <w:b/>
                <w:sz w:val="22"/>
                <w:szCs w:val="22"/>
                <w:lang w:val="en-GB"/>
              </w:rPr>
              <w:t>97</w:t>
            </w:r>
            <w:r w:rsidRPr="00FB4185">
              <w:rPr>
                <w:bCs/>
                <w:sz w:val="22"/>
                <w:szCs w:val="22"/>
                <w:lang w:val="en-GB"/>
              </w:rPr>
              <w:t xml:space="preserve"> </w:t>
            </w:r>
            <w:r w:rsidRPr="00FB4185">
              <w:rPr>
                <w:sz w:val="22"/>
                <w:szCs w:val="22"/>
              </w:rPr>
              <w:t xml:space="preserve"> </w:t>
            </w:r>
            <w:r w:rsidRPr="00FB4185">
              <w:rPr>
                <w:sz w:val="22"/>
                <w:szCs w:val="22"/>
              </w:rPr>
              <w:t>Hiệu lực thi hành</w:t>
            </w:r>
          </w:p>
        </w:tc>
        <w:tc>
          <w:tcPr>
            <w:tcW w:w="4861" w:type="dxa"/>
          </w:tcPr>
          <w:p w14:paraId="64C7CD55" w14:textId="323408A2" w:rsidR="00FB4185" w:rsidRPr="00FB4185" w:rsidRDefault="00FB4185" w:rsidP="00CF12A0">
            <w:pPr>
              <w:ind w:left="76"/>
              <w:jc w:val="both"/>
              <w:rPr>
                <w:sz w:val="22"/>
                <w:szCs w:val="22"/>
              </w:rPr>
            </w:pPr>
            <w:r w:rsidRPr="00FB4185">
              <w:rPr>
                <w:sz w:val="22"/>
                <w:szCs w:val="22"/>
              </w:rPr>
              <w:t>Nghị định này có hiệu lực từ ngày 01 tháng 01 năm 2022</w:t>
            </w:r>
          </w:p>
        </w:tc>
        <w:tc>
          <w:tcPr>
            <w:tcW w:w="4222" w:type="dxa"/>
          </w:tcPr>
          <w:p w14:paraId="1F128B15" w14:textId="4F328834" w:rsidR="00FB4185" w:rsidRPr="00FB4185" w:rsidRDefault="00FB4185" w:rsidP="00FB4185">
            <w:pPr>
              <w:jc w:val="both"/>
              <w:rPr>
                <w:sz w:val="22"/>
                <w:szCs w:val="22"/>
                <w:lang w:eastAsia="fr-FR"/>
              </w:rPr>
            </w:pPr>
            <w:r w:rsidRPr="00FB4185">
              <w:rPr>
                <w:sz w:val="22"/>
                <w:szCs w:val="22"/>
                <w:lang w:eastAsia="fr-FR"/>
              </w:rPr>
              <w:t>Đây là t</w:t>
            </w:r>
            <w:r w:rsidRPr="00FB4185">
              <w:rPr>
                <w:sz w:val="22"/>
                <w:szCs w:val="22"/>
                <w:lang w:eastAsia="fr-FR"/>
              </w:rPr>
              <w:t xml:space="preserve">hời điểm mà người dân và doanh nghiệp vẫn đang phải gồng mình cùng Chính phủ chống dịch. Doanh nghiệp phải </w:t>
            </w:r>
            <w:r w:rsidRPr="00FB4185">
              <w:rPr>
                <w:sz w:val="22"/>
                <w:szCs w:val="22"/>
                <w:lang w:eastAsia="fr-FR"/>
              </w:rPr>
              <w:t xml:space="preserve">nộp thêm phí tái chế </w:t>
            </w:r>
            <w:r w:rsidRPr="00FB4185">
              <w:rPr>
                <w:sz w:val="22"/>
                <w:szCs w:val="22"/>
                <w:lang w:eastAsia="fr-FR"/>
              </w:rPr>
              <w:t>sẽ buộc phải tăng giá hàng hóa, sản xuất-kinh doanh càng thêm khó khăn</w:t>
            </w:r>
            <w:r w:rsidRPr="00FB4185">
              <w:rPr>
                <w:sz w:val="22"/>
                <w:szCs w:val="22"/>
                <w:lang w:eastAsia="fr-FR"/>
              </w:rPr>
              <w:t xml:space="preserve"> và ảnh hưởng tiêu cực đến</w:t>
            </w:r>
            <w:r w:rsidRPr="00FB4185">
              <w:rPr>
                <w:sz w:val="22"/>
                <w:szCs w:val="22"/>
                <w:lang w:eastAsia="fr-FR"/>
              </w:rPr>
              <w:t xml:space="preserve"> </w:t>
            </w:r>
            <w:r w:rsidRPr="00FB4185">
              <w:rPr>
                <w:sz w:val="22"/>
                <w:szCs w:val="22"/>
                <w:lang w:eastAsia="fr-FR"/>
              </w:rPr>
              <w:t>c</w:t>
            </w:r>
            <w:r w:rsidRPr="00FB4185">
              <w:rPr>
                <w:sz w:val="22"/>
                <w:szCs w:val="22"/>
                <w:lang w:eastAsia="fr-FR"/>
              </w:rPr>
              <w:t xml:space="preserve">uộc sống của người dân </w:t>
            </w:r>
          </w:p>
        </w:tc>
        <w:tc>
          <w:tcPr>
            <w:tcW w:w="3968" w:type="dxa"/>
          </w:tcPr>
          <w:p w14:paraId="5BC466E4" w14:textId="173D5984" w:rsidR="00FB4185" w:rsidRPr="00FB4185" w:rsidRDefault="00FB4185" w:rsidP="00CF12A0">
            <w:pPr>
              <w:jc w:val="both"/>
              <w:rPr>
                <w:sz w:val="22"/>
                <w:szCs w:val="22"/>
              </w:rPr>
            </w:pPr>
            <w:r w:rsidRPr="00FB4185">
              <w:rPr>
                <w:sz w:val="22"/>
                <w:szCs w:val="22"/>
                <w:lang w:eastAsia="fr-FR"/>
              </w:rPr>
              <w:t>G</w:t>
            </w:r>
            <w:r w:rsidRPr="00FB4185">
              <w:rPr>
                <w:sz w:val="22"/>
                <w:szCs w:val="22"/>
                <w:lang w:eastAsia="fr-FR"/>
              </w:rPr>
              <w:t>iãn lộ trình thực hiện nộp phí tái chế thêm 3 năm cho đến tháng 1/2025.</w:t>
            </w:r>
          </w:p>
        </w:tc>
      </w:tr>
    </w:tbl>
    <w:p w14:paraId="1999804B" w14:textId="4EE28E88" w:rsidR="00104F79" w:rsidRDefault="00104F79" w:rsidP="00E173FE">
      <w:pPr>
        <w:ind w:left="360"/>
        <w:jc w:val="both"/>
        <w:rPr>
          <w:sz w:val="22"/>
          <w:szCs w:val="22"/>
          <w:lang w:val="vi-VN"/>
        </w:rPr>
      </w:pPr>
    </w:p>
    <w:p w14:paraId="6482E33A" w14:textId="77777777" w:rsidR="00FB4185" w:rsidRDefault="00FB4185" w:rsidP="00E173FE">
      <w:pPr>
        <w:ind w:left="360"/>
        <w:jc w:val="both"/>
        <w:rPr>
          <w:sz w:val="22"/>
          <w:szCs w:val="22"/>
          <w:lang w:val="vi-VN"/>
        </w:rPr>
      </w:pPr>
    </w:p>
    <w:p w14:paraId="3B413031" w14:textId="77777777" w:rsidR="00FB4185" w:rsidRPr="00F118EB" w:rsidRDefault="00FB4185" w:rsidP="00E173FE">
      <w:pPr>
        <w:ind w:left="360"/>
        <w:jc w:val="both"/>
        <w:rPr>
          <w:sz w:val="22"/>
          <w:szCs w:val="22"/>
          <w:lang w:val="vi-VN"/>
        </w:rPr>
      </w:pPr>
    </w:p>
    <w:p w14:paraId="707425BD" w14:textId="482592E6" w:rsidR="006443CA" w:rsidRPr="00F118EB" w:rsidRDefault="006443CA" w:rsidP="000B2390">
      <w:pPr>
        <w:rPr>
          <w:sz w:val="22"/>
          <w:szCs w:val="22"/>
          <w:lang w:val="vi-VN"/>
        </w:rPr>
      </w:pPr>
    </w:p>
    <w:sectPr w:rsidR="006443CA" w:rsidRPr="00F118EB" w:rsidSect="00D10CF4">
      <w:headerReference w:type="even" r:id="rId15"/>
      <w:headerReference w:type="default" r:id="rId16"/>
      <w:footerReference w:type="even" r:id="rId17"/>
      <w:footerReference w:type="default" r:id="rId18"/>
      <w:headerReference w:type="first" r:id="rId19"/>
      <w:footerReference w:type="first" r:id="rId20"/>
      <w:pgSz w:w="16834" w:h="11909" w:orient="landscape" w:code="9"/>
      <w:pgMar w:top="864" w:right="1174" w:bottom="864" w:left="117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17DEB" w14:textId="77777777" w:rsidR="003041AB" w:rsidRDefault="003041AB">
      <w:r>
        <w:separator/>
      </w:r>
    </w:p>
  </w:endnote>
  <w:endnote w:type="continuationSeparator" w:id="0">
    <w:p w14:paraId="561DFA1C" w14:textId="77777777" w:rsidR="003041AB" w:rsidRDefault="0030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dTime">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633A8" w14:textId="4F30FBDD" w:rsidR="0004457F" w:rsidRDefault="0004457F" w:rsidP="006061FA">
    <w:pPr>
      <w:pStyle w:val="Footer"/>
      <w:framePr w:wrap="around" w:vAnchor="text" w:hAnchor="margin" w:xAlign="right" w:y="1"/>
      <w:rPr>
        <w:rStyle w:val="PageNumber"/>
      </w:rPr>
    </w:pPr>
    <w:r>
      <w:rPr>
        <w:rStyle w:val="PageNumber"/>
        <w:noProof/>
      </w:rPr>
      <w:drawing>
        <wp:inline distT="0" distB="0" distL="0" distR="0" wp14:anchorId="1F44983A" wp14:editId="2590A53D">
          <wp:extent cx="7658100" cy="4210050"/>
          <wp:effectExtent l="0" t="0" r="0" b="0"/>
          <wp:docPr id="17" name="Picture 17" descr="Eurocham logo - transpar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cham logo - transpar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4210050"/>
                  </a:xfrm>
                  <a:prstGeom prst="rect">
                    <a:avLst/>
                  </a:prstGeom>
                  <a:noFill/>
                  <a:ln>
                    <a:noFill/>
                  </a:ln>
                </pic:spPr>
              </pic:pic>
            </a:graphicData>
          </a:graphic>
        </wp:inline>
      </w:drawing>
    </w:r>
    <w:r>
      <w:rPr>
        <w:rStyle w:val="PageNumber"/>
        <w:noProof/>
      </w:rPr>
      <w:drawing>
        <wp:inline distT="0" distB="0" distL="0" distR="0" wp14:anchorId="391FE988" wp14:editId="184ECE1E">
          <wp:extent cx="3619500" cy="2009775"/>
          <wp:effectExtent l="0" t="0" r="0" b="9525"/>
          <wp:docPr id="18" name="Picture 18" descr="E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0" cy="2009775"/>
                  </a:xfrm>
                  <a:prstGeom prst="rect">
                    <a:avLst/>
                  </a:prstGeom>
                  <a:noFill/>
                  <a:ln>
                    <a:noFill/>
                  </a:ln>
                </pic:spPr>
              </pic:pic>
            </a:graphicData>
          </a:graphic>
        </wp:inline>
      </w:drawing>
    </w:r>
    <w:r>
      <w:rPr>
        <w:rStyle w:val="PageNumber"/>
        <w:noProof/>
      </w:rPr>
      <w:drawing>
        <wp:inline distT="0" distB="0" distL="0" distR="0" wp14:anchorId="224601DC" wp14:editId="72C207CC">
          <wp:extent cx="7658100" cy="4210050"/>
          <wp:effectExtent l="0" t="0" r="0" b="0"/>
          <wp:docPr id="19" name="Picture 19" descr="Eurocham logo - transpar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cham logo - transpar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4210050"/>
                  </a:xfrm>
                  <a:prstGeom prst="rect">
                    <a:avLst/>
                  </a:prstGeom>
                  <a:noFill/>
                  <a:ln>
                    <a:noFill/>
                  </a:ln>
                </pic:spPr>
              </pic:pic>
            </a:graphicData>
          </a:graphic>
        </wp:inline>
      </w:drawing>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48B4AF" w14:textId="77777777" w:rsidR="0004457F" w:rsidRDefault="0004457F" w:rsidP="006061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B732" w14:textId="618AF34C" w:rsidR="0004457F" w:rsidRDefault="0004457F" w:rsidP="00935098">
    <w:pPr>
      <w:pStyle w:val="Footer"/>
      <w:jc w:val="center"/>
    </w:pPr>
    <w:r>
      <w:rPr>
        <w:noProof/>
      </w:rPr>
      <mc:AlternateContent>
        <mc:Choice Requires="wps">
          <w:drawing>
            <wp:anchor distT="0" distB="0" distL="114300" distR="114300" simplePos="0" relativeHeight="251659264" behindDoc="0" locked="0" layoutInCell="0" allowOverlap="1" wp14:anchorId="2AA4A771" wp14:editId="5F91CA60">
              <wp:simplePos x="0" y="0"/>
              <wp:positionH relativeFrom="page">
                <wp:posOffset>0</wp:posOffset>
              </wp:positionH>
              <wp:positionV relativeFrom="page">
                <wp:posOffset>7105015</wp:posOffset>
              </wp:positionV>
              <wp:extent cx="10689590" cy="266700"/>
              <wp:effectExtent l="0" t="0" r="0" b="0"/>
              <wp:wrapNone/>
              <wp:docPr id="1" name="MSIPCM48a0419e90b70d2b8ac7953e" descr="{&quot;HashCode&quot;:86965546,&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8959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796E8" w14:textId="2401FB31" w:rsidR="0004457F" w:rsidRPr="00372C31" w:rsidRDefault="0004457F" w:rsidP="00372C31">
                          <w:pPr>
                            <w:rPr>
                              <w:rFonts w:ascii="Calibri" w:hAnsi="Calibri" w:cs="Calibri"/>
                              <w:color w:val="000000"/>
                              <w:sz w:val="16"/>
                            </w:rPr>
                          </w:pPr>
                          <w:r w:rsidRPr="00372C31">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A4A771" id="_x0000_t202" coordsize="21600,21600" o:spt="202" path="m,l,21600r21600,l21600,xe">
              <v:stroke joinstyle="miter"/>
              <v:path gradientshapeok="t" o:connecttype="rect"/>
            </v:shapetype>
            <v:shape id="MSIPCM48a0419e90b70d2b8ac7953e" o:spid="_x0000_s1026" type="#_x0000_t202" alt="{&quot;HashCode&quot;:86965546,&quot;Height&quot;:595.0,&quot;Width&quot;:841.0,&quot;Placement&quot;:&quot;Footer&quot;,&quot;Index&quot;:&quot;Primary&quot;,&quot;Section&quot;:1,&quot;Top&quot;:0.0,&quot;Left&quot;:0.0}" style="position:absolute;left:0;text-align:left;margin-left:0;margin-top:559.45pt;width:841.7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" o:allowincell="f" filled="f" stroked="f" strokeweight=".5pt">
              <v:textbox inset="20pt,0,,0">
                <w:txbxContent>
                  <w:p w14:paraId="493796E8" w14:textId="2401FB31" w:rsidR="0004457F" w:rsidRPr="00372C31" w:rsidRDefault="0004457F" w:rsidP="00372C31">
                    <w:pPr>
                      <w:rPr>
                        <w:rFonts w:ascii="Calibri" w:hAnsi="Calibri" w:cs="Calibri"/>
                        <w:color w:val="000000"/>
                        <w:sz w:val="16"/>
                      </w:rPr>
                    </w:pPr>
                    <w:r w:rsidRPr="00372C31">
                      <w:rPr>
                        <w:rFonts w:ascii="Calibri" w:hAnsi="Calibri" w:cs="Calibri"/>
                        <w:color w:val="000000"/>
                        <w:sz w:val="16"/>
                      </w:rPr>
                      <w:t>Classification: Internal</w:t>
                    </w:r>
                  </w:p>
                </w:txbxContent>
              </v:textbox>
              <w10:wrap anchorx="page" anchory="page"/>
            </v:shape>
          </w:pict>
        </mc:Fallback>
      </mc:AlternateContent>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6C4F" w14:textId="77777777" w:rsidR="0004457F" w:rsidRDefault="0004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913B1" w14:textId="77777777" w:rsidR="003041AB" w:rsidRDefault="003041AB">
      <w:r>
        <w:separator/>
      </w:r>
    </w:p>
  </w:footnote>
  <w:footnote w:type="continuationSeparator" w:id="0">
    <w:p w14:paraId="5FC73990" w14:textId="77777777" w:rsidR="003041AB" w:rsidRDefault="00304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51E9" w14:textId="77777777" w:rsidR="0004457F" w:rsidRDefault="00044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BB6B" w14:textId="77777777" w:rsidR="0004457F" w:rsidRDefault="00044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E4EC" w14:textId="77777777" w:rsidR="0004457F" w:rsidRDefault="00044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55C"/>
    <w:multiLevelType w:val="hybridMultilevel"/>
    <w:tmpl w:val="BC3A7506"/>
    <w:lvl w:ilvl="0" w:tplc="FB6E37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D41FE"/>
    <w:multiLevelType w:val="hybridMultilevel"/>
    <w:tmpl w:val="29DC391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1D915C6"/>
    <w:multiLevelType w:val="hybridMultilevel"/>
    <w:tmpl w:val="6ACEC93E"/>
    <w:lvl w:ilvl="0" w:tplc="C040E1D6">
      <w:start w:val="2"/>
      <w:numFmt w:val="bullet"/>
      <w:lvlText w:val="-"/>
      <w:lvlJc w:val="left"/>
      <w:pPr>
        <w:ind w:left="720" w:hanging="360"/>
      </w:pPr>
      <w:rPr>
        <w:rFonts w:ascii="Times New Roman" w:eastAsiaTheme="minorHAnsi" w:hAnsi="Times New Roman"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465B"/>
    <w:multiLevelType w:val="hybridMultilevel"/>
    <w:tmpl w:val="3782E290"/>
    <w:lvl w:ilvl="0" w:tplc="47DC2B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136F33"/>
    <w:multiLevelType w:val="hybridMultilevel"/>
    <w:tmpl w:val="67661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01FFF"/>
    <w:multiLevelType w:val="hybridMultilevel"/>
    <w:tmpl w:val="40405A30"/>
    <w:lvl w:ilvl="0" w:tplc="8B1E7C30">
      <w:numFmt w:val="bullet"/>
      <w:lvlText w:val="-"/>
      <w:lvlJc w:val="left"/>
      <w:pPr>
        <w:ind w:left="720" w:hanging="360"/>
      </w:pPr>
      <w:rPr>
        <w:rFonts w:ascii="Calibri" w:eastAsia="Calibri" w:hAnsi="Calibri" w:cs="Calibri" w:hint="default"/>
        <w:b/>
        <w:i/>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B2047"/>
    <w:multiLevelType w:val="hybridMultilevel"/>
    <w:tmpl w:val="6CCC2A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33478F9"/>
    <w:multiLevelType w:val="hybridMultilevel"/>
    <w:tmpl w:val="1B12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70D3"/>
    <w:multiLevelType w:val="hybridMultilevel"/>
    <w:tmpl w:val="CFE666FA"/>
    <w:lvl w:ilvl="0" w:tplc="9A148056">
      <w:start w:val="3"/>
      <w:numFmt w:val="bullet"/>
      <w:lvlText w:val=""/>
      <w:lvlJc w:val="left"/>
      <w:pPr>
        <w:ind w:left="462" w:hanging="360"/>
      </w:pPr>
      <w:rPr>
        <w:rFonts w:ascii="Wingdings" w:eastAsia="Times New Roman" w:hAnsi="Wingdings" w:cs="Times New Roman" w:hint="default"/>
        <w:sz w:val="24"/>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9" w15:restartNumberingAfterBreak="0">
    <w:nsid w:val="2B7A1C1A"/>
    <w:multiLevelType w:val="hybridMultilevel"/>
    <w:tmpl w:val="8642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5132C"/>
    <w:multiLevelType w:val="hybridMultilevel"/>
    <w:tmpl w:val="38AEB8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2565D5C"/>
    <w:multiLevelType w:val="hybridMultilevel"/>
    <w:tmpl w:val="69426A9A"/>
    <w:lvl w:ilvl="0" w:tplc="547EE2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ED5B32"/>
    <w:multiLevelType w:val="hybridMultilevel"/>
    <w:tmpl w:val="F5484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84E67"/>
    <w:multiLevelType w:val="hybridMultilevel"/>
    <w:tmpl w:val="192AA016"/>
    <w:lvl w:ilvl="0" w:tplc="316C50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6541A"/>
    <w:multiLevelType w:val="hybridMultilevel"/>
    <w:tmpl w:val="ED4AC6C4"/>
    <w:lvl w:ilvl="0" w:tplc="C754711E">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F924EC"/>
    <w:multiLevelType w:val="hybridMultilevel"/>
    <w:tmpl w:val="FBA45E7E"/>
    <w:lvl w:ilvl="0" w:tplc="30885388">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82B52F2"/>
    <w:multiLevelType w:val="hybridMultilevel"/>
    <w:tmpl w:val="B032EE38"/>
    <w:lvl w:ilvl="0" w:tplc="0ABE994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E752D"/>
    <w:multiLevelType w:val="hybridMultilevel"/>
    <w:tmpl w:val="44700B10"/>
    <w:lvl w:ilvl="0" w:tplc="A29CA5CE">
      <w:numFmt w:val="bullet"/>
      <w:lvlText w:val="-"/>
      <w:lvlJc w:val="left"/>
      <w:pPr>
        <w:ind w:left="-270" w:hanging="360"/>
      </w:pPr>
      <w:rPr>
        <w:rFonts w:ascii="Times New Roman" w:eastAsia="Times New Roman" w:hAnsi="Times New Roman" w:cs="Times New Roman" w:hint="default"/>
      </w:rPr>
    </w:lvl>
    <w:lvl w:ilvl="1" w:tplc="08090003" w:tentative="1">
      <w:start w:val="1"/>
      <w:numFmt w:val="bullet"/>
      <w:lvlText w:val="o"/>
      <w:lvlJc w:val="left"/>
      <w:pPr>
        <w:ind w:left="450" w:hanging="360"/>
      </w:pPr>
      <w:rPr>
        <w:rFonts w:ascii="Courier New" w:hAnsi="Courier New" w:cs="Courier New" w:hint="default"/>
      </w:rPr>
    </w:lvl>
    <w:lvl w:ilvl="2" w:tplc="08090005" w:tentative="1">
      <w:start w:val="1"/>
      <w:numFmt w:val="bullet"/>
      <w:lvlText w:val=""/>
      <w:lvlJc w:val="left"/>
      <w:pPr>
        <w:ind w:left="1170" w:hanging="360"/>
      </w:pPr>
      <w:rPr>
        <w:rFonts w:ascii="Wingdings" w:hAnsi="Wingdings" w:hint="default"/>
      </w:rPr>
    </w:lvl>
    <w:lvl w:ilvl="3" w:tplc="08090001" w:tentative="1">
      <w:start w:val="1"/>
      <w:numFmt w:val="bullet"/>
      <w:lvlText w:val=""/>
      <w:lvlJc w:val="left"/>
      <w:pPr>
        <w:ind w:left="1890" w:hanging="360"/>
      </w:pPr>
      <w:rPr>
        <w:rFonts w:ascii="Symbol" w:hAnsi="Symbol" w:hint="default"/>
      </w:rPr>
    </w:lvl>
    <w:lvl w:ilvl="4" w:tplc="08090003" w:tentative="1">
      <w:start w:val="1"/>
      <w:numFmt w:val="bullet"/>
      <w:lvlText w:val="o"/>
      <w:lvlJc w:val="left"/>
      <w:pPr>
        <w:ind w:left="2610" w:hanging="360"/>
      </w:pPr>
      <w:rPr>
        <w:rFonts w:ascii="Courier New" w:hAnsi="Courier New" w:cs="Courier New" w:hint="default"/>
      </w:rPr>
    </w:lvl>
    <w:lvl w:ilvl="5" w:tplc="08090005" w:tentative="1">
      <w:start w:val="1"/>
      <w:numFmt w:val="bullet"/>
      <w:lvlText w:val=""/>
      <w:lvlJc w:val="left"/>
      <w:pPr>
        <w:ind w:left="3330" w:hanging="360"/>
      </w:pPr>
      <w:rPr>
        <w:rFonts w:ascii="Wingdings" w:hAnsi="Wingdings" w:hint="default"/>
      </w:rPr>
    </w:lvl>
    <w:lvl w:ilvl="6" w:tplc="08090001" w:tentative="1">
      <w:start w:val="1"/>
      <w:numFmt w:val="bullet"/>
      <w:lvlText w:val=""/>
      <w:lvlJc w:val="left"/>
      <w:pPr>
        <w:ind w:left="4050" w:hanging="360"/>
      </w:pPr>
      <w:rPr>
        <w:rFonts w:ascii="Symbol" w:hAnsi="Symbol" w:hint="default"/>
      </w:rPr>
    </w:lvl>
    <w:lvl w:ilvl="7" w:tplc="08090003" w:tentative="1">
      <w:start w:val="1"/>
      <w:numFmt w:val="bullet"/>
      <w:lvlText w:val="o"/>
      <w:lvlJc w:val="left"/>
      <w:pPr>
        <w:ind w:left="4770" w:hanging="360"/>
      </w:pPr>
      <w:rPr>
        <w:rFonts w:ascii="Courier New" w:hAnsi="Courier New" w:cs="Courier New" w:hint="default"/>
      </w:rPr>
    </w:lvl>
    <w:lvl w:ilvl="8" w:tplc="08090005" w:tentative="1">
      <w:start w:val="1"/>
      <w:numFmt w:val="bullet"/>
      <w:lvlText w:val=""/>
      <w:lvlJc w:val="left"/>
      <w:pPr>
        <w:ind w:left="5490" w:hanging="360"/>
      </w:pPr>
      <w:rPr>
        <w:rFonts w:ascii="Wingdings" w:hAnsi="Wingdings" w:hint="default"/>
      </w:rPr>
    </w:lvl>
  </w:abstractNum>
  <w:abstractNum w:abstractNumId="18" w15:restartNumberingAfterBreak="0">
    <w:nsid w:val="48E96538"/>
    <w:multiLevelType w:val="hybridMultilevel"/>
    <w:tmpl w:val="CC043AB8"/>
    <w:lvl w:ilvl="0" w:tplc="F0BC0924">
      <w:start w:val="1"/>
      <w:numFmt w:val="decimal"/>
      <w:lvlText w:val="Điều %1."/>
      <w:lvlJc w:val="left"/>
      <w:pPr>
        <w:ind w:left="1440" w:hanging="1440"/>
      </w:pPr>
      <w:rPr>
        <w:rFonts w:ascii="Times New Roman Bold" w:hAnsi="Times New Roman Bold" w:hint="default"/>
        <w:b/>
        <w:i w:val="0"/>
        <w:sz w:val="28"/>
      </w:rPr>
    </w:lvl>
    <w:lvl w:ilvl="1" w:tplc="5A981378">
      <w:start w:val="10"/>
      <w:numFmt w:val="decimal"/>
      <w:lvlText w:val="Điều %2."/>
      <w:lvlJc w:val="left"/>
      <w:pPr>
        <w:tabs>
          <w:tab w:val="num" w:pos="1786"/>
        </w:tabs>
        <w:ind w:left="0" w:firstLine="720"/>
      </w:pPr>
      <w:rPr>
        <w:rFonts w:ascii="Times New Roman Bold" w:hAnsi="Times New Roman Bold" w:hint="default"/>
        <w:b/>
        <w:i w:val="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97E3C"/>
    <w:multiLevelType w:val="hybridMultilevel"/>
    <w:tmpl w:val="AF2CD234"/>
    <w:lvl w:ilvl="0" w:tplc="D26AD0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22232"/>
    <w:multiLevelType w:val="hybridMultilevel"/>
    <w:tmpl w:val="FBF44FEA"/>
    <w:lvl w:ilvl="0" w:tplc="8B1E7C30">
      <w:numFmt w:val="bullet"/>
      <w:lvlText w:val="-"/>
      <w:lvlJc w:val="left"/>
      <w:pPr>
        <w:ind w:left="720" w:hanging="360"/>
      </w:pPr>
      <w:rPr>
        <w:rFonts w:ascii="Calibri" w:eastAsia="Calibri" w:hAnsi="Calibri" w:cs="Calibri" w:hint="default"/>
        <w:b/>
        <w:i/>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66661"/>
    <w:multiLevelType w:val="hybridMultilevel"/>
    <w:tmpl w:val="86F4C424"/>
    <w:lvl w:ilvl="0" w:tplc="E08E4BE2">
      <w:start w:val="1"/>
      <w:numFmt w:val="decimal"/>
      <w:lvlText w:val="%1)"/>
      <w:lvlJc w:val="left"/>
      <w:pPr>
        <w:ind w:left="720" w:hanging="360"/>
      </w:pPr>
      <w:rPr>
        <w:rFonts w:ascii="Arial" w:hAnsi="Arial" w:cs="Arial" w:hint="default"/>
        <w:i/>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F35F9"/>
    <w:multiLevelType w:val="hybridMultilevel"/>
    <w:tmpl w:val="922E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75DE9"/>
    <w:multiLevelType w:val="hybridMultilevel"/>
    <w:tmpl w:val="3B081634"/>
    <w:lvl w:ilvl="0" w:tplc="F0BC0924">
      <w:start w:val="1"/>
      <w:numFmt w:val="decimal"/>
      <w:lvlText w:val="Điều %1."/>
      <w:lvlJc w:val="left"/>
      <w:pPr>
        <w:ind w:left="1440" w:hanging="1440"/>
      </w:pPr>
      <w:rPr>
        <w:rFonts w:ascii="Times New Roman Bold" w:hAnsi="Times New Roman Bold" w:hint="default"/>
        <w:b/>
        <w:i w:val="0"/>
        <w:sz w:val="28"/>
      </w:rPr>
    </w:lvl>
    <w:lvl w:ilvl="1" w:tplc="3640B5E2">
      <w:start w:val="97"/>
      <w:numFmt w:val="decimal"/>
      <w:lvlText w:val="Điều %2."/>
      <w:lvlJc w:val="left"/>
      <w:pPr>
        <w:tabs>
          <w:tab w:val="num" w:pos="1928"/>
        </w:tabs>
        <w:ind w:left="0" w:firstLine="720"/>
      </w:pPr>
      <w:rPr>
        <w:rFonts w:ascii="Times New Roman Bold" w:hAnsi="Times New Roman Bold" w:hint="default"/>
        <w:b/>
        <w:i w:val="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247F3"/>
    <w:multiLevelType w:val="hybridMultilevel"/>
    <w:tmpl w:val="76AC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15EC1"/>
    <w:multiLevelType w:val="hybridMultilevel"/>
    <w:tmpl w:val="DDFCD13E"/>
    <w:lvl w:ilvl="0" w:tplc="65447E2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5"/>
  </w:num>
  <w:num w:numId="5">
    <w:abstractNumId w:val="24"/>
  </w:num>
  <w:num w:numId="6">
    <w:abstractNumId w:val="7"/>
  </w:num>
  <w:num w:numId="7">
    <w:abstractNumId w:val="21"/>
  </w:num>
  <w:num w:numId="8">
    <w:abstractNumId w:val="16"/>
  </w:num>
  <w:num w:numId="9">
    <w:abstractNumId w:val="14"/>
  </w:num>
  <w:num w:numId="10">
    <w:abstractNumId w:val="4"/>
  </w:num>
  <w:num w:numId="11">
    <w:abstractNumId w:val="11"/>
  </w:num>
  <w:num w:numId="12">
    <w:abstractNumId w:val="25"/>
  </w:num>
  <w:num w:numId="13">
    <w:abstractNumId w:val="19"/>
  </w:num>
  <w:num w:numId="14">
    <w:abstractNumId w:val="8"/>
  </w:num>
  <w:num w:numId="15">
    <w:abstractNumId w:val="12"/>
  </w:num>
  <w:num w:numId="16">
    <w:abstractNumId w:val="17"/>
  </w:num>
  <w:num w:numId="17">
    <w:abstractNumId w:val="3"/>
  </w:num>
  <w:num w:numId="18">
    <w:abstractNumId w:val="18"/>
  </w:num>
  <w:num w:numId="19">
    <w:abstractNumId w:val="13"/>
  </w:num>
  <w:num w:numId="20">
    <w:abstractNumId w:val="0"/>
  </w:num>
  <w:num w:numId="21">
    <w:abstractNumId w:val="6"/>
  </w:num>
  <w:num w:numId="22">
    <w:abstractNumId w:val="9"/>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s-PA" w:vendorID="64" w:dllVersion="6" w:nlCheck="1" w:checkStyle="1"/>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Beijing - BMIP - ENGLISH.ini"/>
  </w:docVars>
  <w:rsids>
    <w:rsidRoot w:val="00EC1C94"/>
    <w:rsid w:val="00000118"/>
    <w:rsid w:val="00000645"/>
    <w:rsid w:val="00000D5B"/>
    <w:rsid w:val="000015BD"/>
    <w:rsid w:val="0000193D"/>
    <w:rsid w:val="0000222B"/>
    <w:rsid w:val="00002671"/>
    <w:rsid w:val="00002F91"/>
    <w:rsid w:val="000045B1"/>
    <w:rsid w:val="00004CD0"/>
    <w:rsid w:val="00004F8A"/>
    <w:rsid w:val="00005B3A"/>
    <w:rsid w:val="00005C35"/>
    <w:rsid w:val="00005CA1"/>
    <w:rsid w:val="00007405"/>
    <w:rsid w:val="00007D9E"/>
    <w:rsid w:val="0001022A"/>
    <w:rsid w:val="000123E6"/>
    <w:rsid w:val="00012D0F"/>
    <w:rsid w:val="000133B5"/>
    <w:rsid w:val="00013DBE"/>
    <w:rsid w:val="000141E3"/>
    <w:rsid w:val="000145E4"/>
    <w:rsid w:val="00014DC5"/>
    <w:rsid w:val="00016386"/>
    <w:rsid w:val="000175EF"/>
    <w:rsid w:val="00017F81"/>
    <w:rsid w:val="000206AB"/>
    <w:rsid w:val="00020993"/>
    <w:rsid w:val="00021609"/>
    <w:rsid w:val="000221F4"/>
    <w:rsid w:val="00022862"/>
    <w:rsid w:val="000229CB"/>
    <w:rsid w:val="00023506"/>
    <w:rsid w:val="00024626"/>
    <w:rsid w:val="000247BE"/>
    <w:rsid w:val="00024B02"/>
    <w:rsid w:val="00024D7E"/>
    <w:rsid w:val="000253E6"/>
    <w:rsid w:val="00026B62"/>
    <w:rsid w:val="0003066A"/>
    <w:rsid w:val="00030E4D"/>
    <w:rsid w:val="00031047"/>
    <w:rsid w:val="00031263"/>
    <w:rsid w:val="000328C1"/>
    <w:rsid w:val="0003382D"/>
    <w:rsid w:val="00033B6F"/>
    <w:rsid w:val="00033D45"/>
    <w:rsid w:val="00034360"/>
    <w:rsid w:val="00034554"/>
    <w:rsid w:val="00034BC9"/>
    <w:rsid w:val="00034CBE"/>
    <w:rsid w:val="00034F85"/>
    <w:rsid w:val="0003514D"/>
    <w:rsid w:val="00036BAE"/>
    <w:rsid w:val="00037062"/>
    <w:rsid w:val="000410E1"/>
    <w:rsid w:val="00042D67"/>
    <w:rsid w:val="0004457F"/>
    <w:rsid w:val="0004488C"/>
    <w:rsid w:val="000452BD"/>
    <w:rsid w:val="000454E4"/>
    <w:rsid w:val="0004650F"/>
    <w:rsid w:val="00046684"/>
    <w:rsid w:val="000468F6"/>
    <w:rsid w:val="00046E8E"/>
    <w:rsid w:val="000516C3"/>
    <w:rsid w:val="00051757"/>
    <w:rsid w:val="00051CBC"/>
    <w:rsid w:val="00051CE8"/>
    <w:rsid w:val="0005236E"/>
    <w:rsid w:val="00052B89"/>
    <w:rsid w:val="000531AB"/>
    <w:rsid w:val="000539F1"/>
    <w:rsid w:val="000546BC"/>
    <w:rsid w:val="0005483C"/>
    <w:rsid w:val="00055147"/>
    <w:rsid w:val="000551A3"/>
    <w:rsid w:val="00055754"/>
    <w:rsid w:val="00055816"/>
    <w:rsid w:val="00055ACC"/>
    <w:rsid w:val="0005679A"/>
    <w:rsid w:val="00056ADB"/>
    <w:rsid w:val="00057C09"/>
    <w:rsid w:val="00060191"/>
    <w:rsid w:val="0006078A"/>
    <w:rsid w:val="00061000"/>
    <w:rsid w:val="00063482"/>
    <w:rsid w:val="000635F4"/>
    <w:rsid w:val="00063645"/>
    <w:rsid w:val="00063787"/>
    <w:rsid w:val="00063C06"/>
    <w:rsid w:val="00063C19"/>
    <w:rsid w:val="000644BC"/>
    <w:rsid w:val="0006476B"/>
    <w:rsid w:val="00064DF8"/>
    <w:rsid w:val="00066DD2"/>
    <w:rsid w:val="000704B2"/>
    <w:rsid w:val="00071B8B"/>
    <w:rsid w:val="00071DC2"/>
    <w:rsid w:val="00072D99"/>
    <w:rsid w:val="0007449A"/>
    <w:rsid w:val="00074F15"/>
    <w:rsid w:val="00075504"/>
    <w:rsid w:val="00075771"/>
    <w:rsid w:val="00075A51"/>
    <w:rsid w:val="00075CB8"/>
    <w:rsid w:val="00077C0F"/>
    <w:rsid w:val="000806A4"/>
    <w:rsid w:val="000806F1"/>
    <w:rsid w:val="00081672"/>
    <w:rsid w:val="00082568"/>
    <w:rsid w:val="00084596"/>
    <w:rsid w:val="00085782"/>
    <w:rsid w:val="00085B39"/>
    <w:rsid w:val="00086878"/>
    <w:rsid w:val="000905CA"/>
    <w:rsid w:val="00091124"/>
    <w:rsid w:val="00092421"/>
    <w:rsid w:val="00093223"/>
    <w:rsid w:val="00093C4A"/>
    <w:rsid w:val="00094117"/>
    <w:rsid w:val="00095037"/>
    <w:rsid w:val="00095242"/>
    <w:rsid w:val="0009572A"/>
    <w:rsid w:val="00095758"/>
    <w:rsid w:val="000959F5"/>
    <w:rsid w:val="00097ED9"/>
    <w:rsid w:val="000A0232"/>
    <w:rsid w:val="000A0773"/>
    <w:rsid w:val="000A0E72"/>
    <w:rsid w:val="000A0FC7"/>
    <w:rsid w:val="000A1335"/>
    <w:rsid w:val="000A1958"/>
    <w:rsid w:val="000A1A25"/>
    <w:rsid w:val="000A225D"/>
    <w:rsid w:val="000A24E4"/>
    <w:rsid w:val="000A2809"/>
    <w:rsid w:val="000A31A9"/>
    <w:rsid w:val="000A330B"/>
    <w:rsid w:val="000A49BF"/>
    <w:rsid w:val="000A4C45"/>
    <w:rsid w:val="000A64F2"/>
    <w:rsid w:val="000A7BFB"/>
    <w:rsid w:val="000B00D3"/>
    <w:rsid w:val="000B02EC"/>
    <w:rsid w:val="000B038F"/>
    <w:rsid w:val="000B0A23"/>
    <w:rsid w:val="000B101F"/>
    <w:rsid w:val="000B114B"/>
    <w:rsid w:val="000B129D"/>
    <w:rsid w:val="000B1392"/>
    <w:rsid w:val="000B1521"/>
    <w:rsid w:val="000B1AC0"/>
    <w:rsid w:val="000B2390"/>
    <w:rsid w:val="000B4067"/>
    <w:rsid w:val="000B4770"/>
    <w:rsid w:val="000B4AE7"/>
    <w:rsid w:val="000B4FB5"/>
    <w:rsid w:val="000B55D2"/>
    <w:rsid w:val="000B65A2"/>
    <w:rsid w:val="000B67F7"/>
    <w:rsid w:val="000B6944"/>
    <w:rsid w:val="000B69BF"/>
    <w:rsid w:val="000B6F95"/>
    <w:rsid w:val="000B7475"/>
    <w:rsid w:val="000C028B"/>
    <w:rsid w:val="000C02F7"/>
    <w:rsid w:val="000C071F"/>
    <w:rsid w:val="000C0851"/>
    <w:rsid w:val="000C0EFD"/>
    <w:rsid w:val="000C3737"/>
    <w:rsid w:val="000C3751"/>
    <w:rsid w:val="000C3961"/>
    <w:rsid w:val="000C43F1"/>
    <w:rsid w:val="000C4B07"/>
    <w:rsid w:val="000C5436"/>
    <w:rsid w:val="000C577A"/>
    <w:rsid w:val="000C5906"/>
    <w:rsid w:val="000C6E7A"/>
    <w:rsid w:val="000D0163"/>
    <w:rsid w:val="000D0B06"/>
    <w:rsid w:val="000D0CE9"/>
    <w:rsid w:val="000D0F75"/>
    <w:rsid w:val="000D193B"/>
    <w:rsid w:val="000D23C9"/>
    <w:rsid w:val="000D2749"/>
    <w:rsid w:val="000D3283"/>
    <w:rsid w:val="000D3816"/>
    <w:rsid w:val="000D3D49"/>
    <w:rsid w:val="000D4B4C"/>
    <w:rsid w:val="000D4B84"/>
    <w:rsid w:val="000D4D2E"/>
    <w:rsid w:val="000D5176"/>
    <w:rsid w:val="000D623B"/>
    <w:rsid w:val="000D6AF3"/>
    <w:rsid w:val="000D6B63"/>
    <w:rsid w:val="000E0475"/>
    <w:rsid w:val="000E0610"/>
    <w:rsid w:val="000E0B64"/>
    <w:rsid w:val="000E0C95"/>
    <w:rsid w:val="000E1ADE"/>
    <w:rsid w:val="000E2108"/>
    <w:rsid w:val="000E2BE0"/>
    <w:rsid w:val="000E3300"/>
    <w:rsid w:val="000E3A46"/>
    <w:rsid w:val="000E48AA"/>
    <w:rsid w:val="000E56F6"/>
    <w:rsid w:val="000E665D"/>
    <w:rsid w:val="000E740B"/>
    <w:rsid w:val="000F0304"/>
    <w:rsid w:val="000F104A"/>
    <w:rsid w:val="000F1B08"/>
    <w:rsid w:val="000F2D04"/>
    <w:rsid w:val="000F3101"/>
    <w:rsid w:val="000F35D2"/>
    <w:rsid w:val="000F4006"/>
    <w:rsid w:val="000F6F6F"/>
    <w:rsid w:val="000F7977"/>
    <w:rsid w:val="000F7AEF"/>
    <w:rsid w:val="00100BB8"/>
    <w:rsid w:val="00100CCE"/>
    <w:rsid w:val="00101F28"/>
    <w:rsid w:val="001024C4"/>
    <w:rsid w:val="0010284D"/>
    <w:rsid w:val="00103596"/>
    <w:rsid w:val="0010367F"/>
    <w:rsid w:val="00103837"/>
    <w:rsid w:val="00103F79"/>
    <w:rsid w:val="0010434A"/>
    <w:rsid w:val="00104F79"/>
    <w:rsid w:val="00105E16"/>
    <w:rsid w:val="001068A3"/>
    <w:rsid w:val="00106B67"/>
    <w:rsid w:val="00111695"/>
    <w:rsid w:val="00111A90"/>
    <w:rsid w:val="00111B76"/>
    <w:rsid w:val="00112A7D"/>
    <w:rsid w:val="00112BD5"/>
    <w:rsid w:val="00112C27"/>
    <w:rsid w:val="00112EF4"/>
    <w:rsid w:val="00113876"/>
    <w:rsid w:val="00113F10"/>
    <w:rsid w:val="0011402B"/>
    <w:rsid w:val="00116B94"/>
    <w:rsid w:val="00116E23"/>
    <w:rsid w:val="00117E72"/>
    <w:rsid w:val="0012082B"/>
    <w:rsid w:val="00121001"/>
    <w:rsid w:val="001220B5"/>
    <w:rsid w:val="001223E7"/>
    <w:rsid w:val="0012337D"/>
    <w:rsid w:val="001234C7"/>
    <w:rsid w:val="00123BB9"/>
    <w:rsid w:val="00123EA3"/>
    <w:rsid w:val="001240A4"/>
    <w:rsid w:val="001242EB"/>
    <w:rsid w:val="00124AC7"/>
    <w:rsid w:val="00124F8F"/>
    <w:rsid w:val="00124FEE"/>
    <w:rsid w:val="00125AF2"/>
    <w:rsid w:val="0012681C"/>
    <w:rsid w:val="00126D7B"/>
    <w:rsid w:val="00127E27"/>
    <w:rsid w:val="00130189"/>
    <w:rsid w:val="001302CF"/>
    <w:rsid w:val="001310BB"/>
    <w:rsid w:val="00131417"/>
    <w:rsid w:val="001314F0"/>
    <w:rsid w:val="00132336"/>
    <w:rsid w:val="00133DF0"/>
    <w:rsid w:val="0013415A"/>
    <w:rsid w:val="00134294"/>
    <w:rsid w:val="001351EF"/>
    <w:rsid w:val="001358E4"/>
    <w:rsid w:val="00135963"/>
    <w:rsid w:val="00135E76"/>
    <w:rsid w:val="00135FA2"/>
    <w:rsid w:val="0013614D"/>
    <w:rsid w:val="0013636F"/>
    <w:rsid w:val="001378B0"/>
    <w:rsid w:val="00137A43"/>
    <w:rsid w:val="00140754"/>
    <w:rsid w:val="001408A4"/>
    <w:rsid w:val="001413ED"/>
    <w:rsid w:val="0014187A"/>
    <w:rsid w:val="0014199A"/>
    <w:rsid w:val="001427D7"/>
    <w:rsid w:val="00142E8E"/>
    <w:rsid w:val="00142FC4"/>
    <w:rsid w:val="00144590"/>
    <w:rsid w:val="00144BAB"/>
    <w:rsid w:val="00144BBC"/>
    <w:rsid w:val="001452AC"/>
    <w:rsid w:val="00145D68"/>
    <w:rsid w:val="00146549"/>
    <w:rsid w:val="00146F32"/>
    <w:rsid w:val="00147CF8"/>
    <w:rsid w:val="00150556"/>
    <w:rsid w:val="00150A37"/>
    <w:rsid w:val="00150F53"/>
    <w:rsid w:val="0015125D"/>
    <w:rsid w:val="001514D3"/>
    <w:rsid w:val="001518AC"/>
    <w:rsid w:val="00151F95"/>
    <w:rsid w:val="00152C6A"/>
    <w:rsid w:val="001530EA"/>
    <w:rsid w:val="001531F4"/>
    <w:rsid w:val="001534C5"/>
    <w:rsid w:val="0015387E"/>
    <w:rsid w:val="00153E3D"/>
    <w:rsid w:val="00154532"/>
    <w:rsid w:val="001546A3"/>
    <w:rsid w:val="001549D3"/>
    <w:rsid w:val="00154B79"/>
    <w:rsid w:val="00155E11"/>
    <w:rsid w:val="00156E43"/>
    <w:rsid w:val="00160C1B"/>
    <w:rsid w:val="00161DD6"/>
    <w:rsid w:val="00162456"/>
    <w:rsid w:val="0016390A"/>
    <w:rsid w:val="001652C1"/>
    <w:rsid w:val="00166D6D"/>
    <w:rsid w:val="00166DEF"/>
    <w:rsid w:val="001706BE"/>
    <w:rsid w:val="001713A9"/>
    <w:rsid w:val="001723AC"/>
    <w:rsid w:val="00172A26"/>
    <w:rsid w:val="00172B5A"/>
    <w:rsid w:val="0017328B"/>
    <w:rsid w:val="00173C41"/>
    <w:rsid w:val="00174399"/>
    <w:rsid w:val="00174F32"/>
    <w:rsid w:val="0017509B"/>
    <w:rsid w:val="001763D8"/>
    <w:rsid w:val="00177404"/>
    <w:rsid w:val="001808B2"/>
    <w:rsid w:val="0018101A"/>
    <w:rsid w:val="0018148C"/>
    <w:rsid w:val="0018156D"/>
    <w:rsid w:val="00181F19"/>
    <w:rsid w:val="00182367"/>
    <w:rsid w:val="0018257A"/>
    <w:rsid w:val="00182A3B"/>
    <w:rsid w:val="00182E67"/>
    <w:rsid w:val="001850A5"/>
    <w:rsid w:val="0018511F"/>
    <w:rsid w:val="00185390"/>
    <w:rsid w:val="001855D8"/>
    <w:rsid w:val="00187350"/>
    <w:rsid w:val="001878A5"/>
    <w:rsid w:val="00187C73"/>
    <w:rsid w:val="00190636"/>
    <w:rsid w:val="001908EE"/>
    <w:rsid w:val="0019170A"/>
    <w:rsid w:val="001919FA"/>
    <w:rsid w:val="00191EE6"/>
    <w:rsid w:val="00192411"/>
    <w:rsid w:val="00192E99"/>
    <w:rsid w:val="0019342C"/>
    <w:rsid w:val="00194196"/>
    <w:rsid w:val="00194790"/>
    <w:rsid w:val="00195193"/>
    <w:rsid w:val="00195D69"/>
    <w:rsid w:val="0019621E"/>
    <w:rsid w:val="001A0AF6"/>
    <w:rsid w:val="001A1DF4"/>
    <w:rsid w:val="001A295E"/>
    <w:rsid w:val="001A462B"/>
    <w:rsid w:val="001A4C62"/>
    <w:rsid w:val="001A5580"/>
    <w:rsid w:val="001A6850"/>
    <w:rsid w:val="001A6C5B"/>
    <w:rsid w:val="001A7315"/>
    <w:rsid w:val="001B2125"/>
    <w:rsid w:val="001B2376"/>
    <w:rsid w:val="001B279B"/>
    <w:rsid w:val="001B2FF2"/>
    <w:rsid w:val="001B34A3"/>
    <w:rsid w:val="001B4A5C"/>
    <w:rsid w:val="001B4E9C"/>
    <w:rsid w:val="001B50FA"/>
    <w:rsid w:val="001B55C8"/>
    <w:rsid w:val="001B59FE"/>
    <w:rsid w:val="001B637D"/>
    <w:rsid w:val="001B6A3A"/>
    <w:rsid w:val="001B7472"/>
    <w:rsid w:val="001B74A8"/>
    <w:rsid w:val="001C067F"/>
    <w:rsid w:val="001C1116"/>
    <w:rsid w:val="001C1469"/>
    <w:rsid w:val="001C1480"/>
    <w:rsid w:val="001C1A47"/>
    <w:rsid w:val="001C218E"/>
    <w:rsid w:val="001C23A6"/>
    <w:rsid w:val="001C2A46"/>
    <w:rsid w:val="001C2B54"/>
    <w:rsid w:val="001C2D4D"/>
    <w:rsid w:val="001C2E93"/>
    <w:rsid w:val="001C34CD"/>
    <w:rsid w:val="001C3516"/>
    <w:rsid w:val="001C4440"/>
    <w:rsid w:val="001C5B24"/>
    <w:rsid w:val="001C5C92"/>
    <w:rsid w:val="001C5F4C"/>
    <w:rsid w:val="001C6165"/>
    <w:rsid w:val="001C6921"/>
    <w:rsid w:val="001C6990"/>
    <w:rsid w:val="001C7540"/>
    <w:rsid w:val="001C77B5"/>
    <w:rsid w:val="001C79D0"/>
    <w:rsid w:val="001D0680"/>
    <w:rsid w:val="001D0977"/>
    <w:rsid w:val="001D473A"/>
    <w:rsid w:val="001D4E74"/>
    <w:rsid w:val="001D5750"/>
    <w:rsid w:val="001D5F9B"/>
    <w:rsid w:val="001D6D28"/>
    <w:rsid w:val="001D6E6F"/>
    <w:rsid w:val="001D7816"/>
    <w:rsid w:val="001D7EE3"/>
    <w:rsid w:val="001E0B96"/>
    <w:rsid w:val="001E0CF0"/>
    <w:rsid w:val="001E0D7D"/>
    <w:rsid w:val="001E2367"/>
    <w:rsid w:val="001E59E8"/>
    <w:rsid w:val="001E5C1C"/>
    <w:rsid w:val="001E5FD7"/>
    <w:rsid w:val="001E6F0E"/>
    <w:rsid w:val="001E7605"/>
    <w:rsid w:val="001E78A7"/>
    <w:rsid w:val="001E7950"/>
    <w:rsid w:val="001E7A4B"/>
    <w:rsid w:val="001F0406"/>
    <w:rsid w:val="001F16A2"/>
    <w:rsid w:val="001F27E6"/>
    <w:rsid w:val="001F2B07"/>
    <w:rsid w:val="001F3C29"/>
    <w:rsid w:val="001F4C36"/>
    <w:rsid w:val="001F5389"/>
    <w:rsid w:val="001F5404"/>
    <w:rsid w:val="001F5DA2"/>
    <w:rsid w:val="001F792E"/>
    <w:rsid w:val="002003EA"/>
    <w:rsid w:val="00200788"/>
    <w:rsid w:val="00201FD6"/>
    <w:rsid w:val="0020208A"/>
    <w:rsid w:val="00202E94"/>
    <w:rsid w:val="00202EA7"/>
    <w:rsid w:val="002031C2"/>
    <w:rsid w:val="0020374C"/>
    <w:rsid w:val="00204B6E"/>
    <w:rsid w:val="002053F4"/>
    <w:rsid w:val="00205D2E"/>
    <w:rsid w:val="002072BF"/>
    <w:rsid w:val="00207918"/>
    <w:rsid w:val="00210332"/>
    <w:rsid w:val="00210D1B"/>
    <w:rsid w:val="00211E18"/>
    <w:rsid w:val="00212459"/>
    <w:rsid w:val="00212BD0"/>
    <w:rsid w:val="00213134"/>
    <w:rsid w:val="00213242"/>
    <w:rsid w:val="00214120"/>
    <w:rsid w:val="00214B5A"/>
    <w:rsid w:val="002158AC"/>
    <w:rsid w:val="00216AFF"/>
    <w:rsid w:val="00216E2D"/>
    <w:rsid w:val="00216FB3"/>
    <w:rsid w:val="00217132"/>
    <w:rsid w:val="0021744F"/>
    <w:rsid w:val="0022054E"/>
    <w:rsid w:val="0022222E"/>
    <w:rsid w:val="00222243"/>
    <w:rsid w:val="00222DD9"/>
    <w:rsid w:val="00223B8C"/>
    <w:rsid w:val="00223F7D"/>
    <w:rsid w:val="00224BFE"/>
    <w:rsid w:val="0022746E"/>
    <w:rsid w:val="0022776B"/>
    <w:rsid w:val="00230282"/>
    <w:rsid w:val="002306C0"/>
    <w:rsid w:val="00230E30"/>
    <w:rsid w:val="00230E56"/>
    <w:rsid w:val="00231B0B"/>
    <w:rsid w:val="00235427"/>
    <w:rsid w:val="00235BAA"/>
    <w:rsid w:val="00236015"/>
    <w:rsid w:val="002361A8"/>
    <w:rsid w:val="00236BA4"/>
    <w:rsid w:val="002419E0"/>
    <w:rsid w:val="00241F01"/>
    <w:rsid w:val="00242D99"/>
    <w:rsid w:val="002435FE"/>
    <w:rsid w:val="00243859"/>
    <w:rsid w:val="00243A19"/>
    <w:rsid w:val="00245232"/>
    <w:rsid w:val="002458B3"/>
    <w:rsid w:val="00245DFE"/>
    <w:rsid w:val="00246C2F"/>
    <w:rsid w:val="00246FD6"/>
    <w:rsid w:val="00247D16"/>
    <w:rsid w:val="00250239"/>
    <w:rsid w:val="00250478"/>
    <w:rsid w:val="00250927"/>
    <w:rsid w:val="00252F2B"/>
    <w:rsid w:val="00252F91"/>
    <w:rsid w:val="00253CD5"/>
    <w:rsid w:val="002549D3"/>
    <w:rsid w:val="00257E84"/>
    <w:rsid w:val="00257FA1"/>
    <w:rsid w:val="00260F59"/>
    <w:rsid w:val="0026117D"/>
    <w:rsid w:val="00261713"/>
    <w:rsid w:val="002617B8"/>
    <w:rsid w:val="00261913"/>
    <w:rsid w:val="00262A9D"/>
    <w:rsid w:val="00262D53"/>
    <w:rsid w:val="00263120"/>
    <w:rsid w:val="00264423"/>
    <w:rsid w:val="0026512D"/>
    <w:rsid w:val="00265A3B"/>
    <w:rsid w:val="00266087"/>
    <w:rsid w:val="002663E6"/>
    <w:rsid w:val="00267839"/>
    <w:rsid w:val="002709A8"/>
    <w:rsid w:val="00271592"/>
    <w:rsid w:val="00272174"/>
    <w:rsid w:val="002732F8"/>
    <w:rsid w:val="0027517F"/>
    <w:rsid w:val="0027604E"/>
    <w:rsid w:val="00277C2E"/>
    <w:rsid w:val="0028062D"/>
    <w:rsid w:val="00280787"/>
    <w:rsid w:val="00280E58"/>
    <w:rsid w:val="00281391"/>
    <w:rsid w:val="00281910"/>
    <w:rsid w:val="00281A60"/>
    <w:rsid w:val="00281C95"/>
    <w:rsid w:val="00282837"/>
    <w:rsid w:val="00282B4E"/>
    <w:rsid w:val="00282D81"/>
    <w:rsid w:val="00282DF6"/>
    <w:rsid w:val="00283660"/>
    <w:rsid w:val="00283CCC"/>
    <w:rsid w:val="0028460C"/>
    <w:rsid w:val="00284E54"/>
    <w:rsid w:val="00285B08"/>
    <w:rsid w:val="00286673"/>
    <w:rsid w:val="00286F78"/>
    <w:rsid w:val="00287713"/>
    <w:rsid w:val="00287A30"/>
    <w:rsid w:val="002902AD"/>
    <w:rsid w:val="00290D92"/>
    <w:rsid w:val="00292589"/>
    <w:rsid w:val="00293AD0"/>
    <w:rsid w:val="00294026"/>
    <w:rsid w:val="00294ECD"/>
    <w:rsid w:val="00294F8C"/>
    <w:rsid w:val="0029525F"/>
    <w:rsid w:val="00295352"/>
    <w:rsid w:val="002956CE"/>
    <w:rsid w:val="002966BA"/>
    <w:rsid w:val="002966C3"/>
    <w:rsid w:val="00296D7F"/>
    <w:rsid w:val="002977F3"/>
    <w:rsid w:val="00297CD6"/>
    <w:rsid w:val="00297FF0"/>
    <w:rsid w:val="002A05AC"/>
    <w:rsid w:val="002A0BFB"/>
    <w:rsid w:val="002A3159"/>
    <w:rsid w:val="002A3B54"/>
    <w:rsid w:val="002A48E3"/>
    <w:rsid w:val="002A4C87"/>
    <w:rsid w:val="002A56F1"/>
    <w:rsid w:val="002A59C1"/>
    <w:rsid w:val="002A691A"/>
    <w:rsid w:val="002A77BB"/>
    <w:rsid w:val="002A7AA6"/>
    <w:rsid w:val="002B0877"/>
    <w:rsid w:val="002B09AD"/>
    <w:rsid w:val="002B0C4E"/>
    <w:rsid w:val="002B1229"/>
    <w:rsid w:val="002B15A5"/>
    <w:rsid w:val="002B1DAC"/>
    <w:rsid w:val="002B2E8B"/>
    <w:rsid w:val="002B3E36"/>
    <w:rsid w:val="002B4E9B"/>
    <w:rsid w:val="002B508E"/>
    <w:rsid w:val="002B5220"/>
    <w:rsid w:val="002B54CD"/>
    <w:rsid w:val="002B55C7"/>
    <w:rsid w:val="002B583C"/>
    <w:rsid w:val="002B58AF"/>
    <w:rsid w:val="002B5E0E"/>
    <w:rsid w:val="002B65D0"/>
    <w:rsid w:val="002B68F8"/>
    <w:rsid w:val="002B6B3C"/>
    <w:rsid w:val="002B6F22"/>
    <w:rsid w:val="002B6F3A"/>
    <w:rsid w:val="002B723E"/>
    <w:rsid w:val="002B7AF1"/>
    <w:rsid w:val="002C017C"/>
    <w:rsid w:val="002C0347"/>
    <w:rsid w:val="002C1227"/>
    <w:rsid w:val="002C1549"/>
    <w:rsid w:val="002C1CA6"/>
    <w:rsid w:val="002C1F03"/>
    <w:rsid w:val="002C2E40"/>
    <w:rsid w:val="002C2F9B"/>
    <w:rsid w:val="002C3347"/>
    <w:rsid w:val="002C38E2"/>
    <w:rsid w:val="002C4103"/>
    <w:rsid w:val="002C658A"/>
    <w:rsid w:val="002C65DA"/>
    <w:rsid w:val="002C6840"/>
    <w:rsid w:val="002C6A10"/>
    <w:rsid w:val="002C7504"/>
    <w:rsid w:val="002C7677"/>
    <w:rsid w:val="002C787D"/>
    <w:rsid w:val="002C7E71"/>
    <w:rsid w:val="002D14CE"/>
    <w:rsid w:val="002D1586"/>
    <w:rsid w:val="002D18B3"/>
    <w:rsid w:val="002D2192"/>
    <w:rsid w:val="002D2D39"/>
    <w:rsid w:val="002D4188"/>
    <w:rsid w:val="002D462E"/>
    <w:rsid w:val="002D5632"/>
    <w:rsid w:val="002D5A50"/>
    <w:rsid w:val="002D5AE8"/>
    <w:rsid w:val="002D5FC7"/>
    <w:rsid w:val="002D605F"/>
    <w:rsid w:val="002E1FB0"/>
    <w:rsid w:val="002E21C1"/>
    <w:rsid w:val="002E2604"/>
    <w:rsid w:val="002E2CAB"/>
    <w:rsid w:val="002E3874"/>
    <w:rsid w:val="002E5368"/>
    <w:rsid w:val="002E62B4"/>
    <w:rsid w:val="002E669E"/>
    <w:rsid w:val="002E7425"/>
    <w:rsid w:val="002E7753"/>
    <w:rsid w:val="002E7828"/>
    <w:rsid w:val="002F17E6"/>
    <w:rsid w:val="002F1948"/>
    <w:rsid w:val="002F3022"/>
    <w:rsid w:val="002F409C"/>
    <w:rsid w:val="002F43FB"/>
    <w:rsid w:val="002F4687"/>
    <w:rsid w:val="002F5005"/>
    <w:rsid w:val="002F6F49"/>
    <w:rsid w:val="002F7E56"/>
    <w:rsid w:val="00302122"/>
    <w:rsid w:val="0030273B"/>
    <w:rsid w:val="00302E03"/>
    <w:rsid w:val="00303661"/>
    <w:rsid w:val="003039DC"/>
    <w:rsid w:val="003041AB"/>
    <w:rsid w:val="00304630"/>
    <w:rsid w:val="00304D16"/>
    <w:rsid w:val="00304F46"/>
    <w:rsid w:val="003055D9"/>
    <w:rsid w:val="00305915"/>
    <w:rsid w:val="00306D33"/>
    <w:rsid w:val="00307FAE"/>
    <w:rsid w:val="003101A5"/>
    <w:rsid w:val="003107A1"/>
    <w:rsid w:val="00310EC9"/>
    <w:rsid w:val="0031105A"/>
    <w:rsid w:val="0031166D"/>
    <w:rsid w:val="00312803"/>
    <w:rsid w:val="003133AE"/>
    <w:rsid w:val="00313839"/>
    <w:rsid w:val="00317A44"/>
    <w:rsid w:val="0032062C"/>
    <w:rsid w:val="00320B20"/>
    <w:rsid w:val="00321167"/>
    <w:rsid w:val="00321D41"/>
    <w:rsid w:val="003227AD"/>
    <w:rsid w:val="003227FA"/>
    <w:rsid w:val="00322816"/>
    <w:rsid w:val="00322A6E"/>
    <w:rsid w:val="00323000"/>
    <w:rsid w:val="003236CE"/>
    <w:rsid w:val="00324275"/>
    <w:rsid w:val="0032463F"/>
    <w:rsid w:val="00324927"/>
    <w:rsid w:val="00324E68"/>
    <w:rsid w:val="00325584"/>
    <w:rsid w:val="00325786"/>
    <w:rsid w:val="00327A65"/>
    <w:rsid w:val="003305F5"/>
    <w:rsid w:val="003312A4"/>
    <w:rsid w:val="003316FF"/>
    <w:rsid w:val="00331EB8"/>
    <w:rsid w:val="00333356"/>
    <w:rsid w:val="003341DC"/>
    <w:rsid w:val="00334D2E"/>
    <w:rsid w:val="00335183"/>
    <w:rsid w:val="0033585A"/>
    <w:rsid w:val="00336600"/>
    <w:rsid w:val="00336F82"/>
    <w:rsid w:val="00340150"/>
    <w:rsid w:val="003403DF"/>
    <w:rsid w:val="003429C3"/>
    <w:rsid w:val="00342D86"/>
    <w:rsid w:val="00342F86"/>
    <w:rsid w:val="003434FC"/>
    <w:rsid w:val="00343D36"/>
    <w:rsid w:val="00344112"/>
    <w:rsid w:val="003446DC"/>
    <w:rsid w:val="0034471A"/>
    <w:rsid w:val="00345015"/>
    <w:rsid w:val="003460AB"/>
    <w:rsid w:val="00347913"/>
    <w:rsid w:val="00347988"/>
    <w:rsid w:val="00350C8A"/>
    <w:rsid w:val="003522B5"/>
    <w:rsid w:val="00352EA0"/>
    <w:rsid w:val="00352ED5"/>
    <w:rsid w:val="003531C9"/>
    <w:rsid w:val="003534C3"/>
    <w:rsid w:val="003538D6"/>
    <w:rsid w:val="00354B77"/>
    <w:rsid w:val="003557BE"/>
    <w:rsid w:val="00355FAB"/>
    <w:rsid w:val="00356B59"/>
    <w:rsid w:val="00356F77"/>
    <w:rsid w:val="0036097E"/>
    <w:rsid w:val="00360C7F"/>
    <w:rsid w:val="00361B42"/>
    <w:rsid w:val="00361CE7"/>
    <w:rsid w:val="0036268E"/>
    <w:rsid w:val="003630B6"/>
    <w:rsid w:val="003634E2"/>
    <w:rsid w:val="00363B4C"/>
    <w:rsid w:val="00363DCD"/>
    <w:rsid w:val="003640E9"/>
    <w:rsid w:val="0036465D"/>
    <w:rsid w:val="00364929"/>
    <w:rsid w:val="00365E72"/>
    <w:rsid w:val="00366A53"/>
    <w:rsid w:val="003714C4"/>
    <w:rsid w:val="00371E55"/>
    <w:rsid w:val="00372C31"/>
    <w:rsid w:val="003735F2"/>
    <w:rsid w:val="00373C33"/>
    <w:rsid w:val="00375847"/>
    <w:rsid w:val="00375E83"/>
    <w:rsid w:val="00375ED9"/>
    <w:rsid w:val="00376ADC"/>
    <w:rsid w:val="00377BA0"/>
    <w:rsid w:val="003801CD"/>
    <w:rsid w:val="00380BE3"/>
    <w:rsid w:val="003814BD"/>
    <w:rsid w:val="00382345"/>
    <w:rsid w:val="00382DB0"/>
    <w:rsid w:val="00383EE1"/>
    <w:rsid w:val="003841E9"/>
    <w:rsid w:val="00384AA7"/>
    <w:rsid w:val="00384DB5"/>
    <w:rsid w:val="00384E6A"/>
    <w:rsid w:val="0038581F"/>
    <w:rsid w:val="00385842"/>
    <w:rsid w:val="00385ACD"/>
    <w:rsid w:val="00386552"/>
    <w:rsid w:val="00390B66"/>
    <w:rsid w:val="0039168C"/>
    <w:rsid w:val="003922EF"/>
    <w:rsid w:val="003927D9"/>
    <w:rsid w:val="00392B42"/>
    <w:rsid w:val="00393227"/>
    <w:rsid w:val="00393AA7"/>
    <w:rsid w:val="00393AAE"/>
    <w:rsid w:val="003950CC"/>
    <w:rsid w:val="003A0B7A"/>
    <w:rsid w:val="003A1124"/>
    <w:rsid w:val="003A1C6C"/>
    <w:rsid w:val="003A21D8"/>
    <w:rsid w:val="003A2990"/>
    <w:rsid w:val="003A323C"/>
    <w:rsid w:val="003A3768"/>
    <w:rsid w:val="003A70F2"/>
    <w:rsid w:val="003A78FF"/>
    <w:rsid w:val="003A7E9B"/>
    <w:rsid w:val="003B0ACA"/>
    <w:rsid w:val="003B19A8"/>
    <w:rsid w:val="003B2307"/>
    <w:rsid w:val="003B23E8"/>
    <w:rsid w:val="003B24AA"/>
    <w:rsid w:val="003B2871"/>
    <w:rsid w:val="003B28A4"/>
    <w:rsid w:val="003B35A2"/>
    <w:rsid w:val="003B4102"/>
    <w:rsid w:val="003B63CB"/>
    <w:rsid w:val="003B6430"/>
    <w:rsid w:val="003B6B56"/>
    <w:rsid w:val="003B74BF"/>
    <w:rsid w:val="003C02A6"/>
    <w:rsid w:val="003C09D0"/>
    <w:rsid w:val="003C1823"/>
    <w:rsid w:val="003C19C7"/>
    <w:rsid w:val="003C2758"/>
    <w:rsid w:val="003C2CFE"/>
    <w:rsid w:val="003C2F67"/>
    <w:rsid w:val="003C3A9A"/>
    <w:rsid w:val="003C3AB6"/>
    <w:rsid w:val="003C44B0"/>
    <w:rsid w:val="003C474B"/>
    <w:rsid w:val="003C4AC7"/>
    <w:rsid w:val="003C5E8D"/>
    <w:rsid w:val="003C62AB"/>
    <w:rsid w:val="003C6CFA"/>
    <w:rsid w:val="003C6FFD"/>
    <w:rsid w:val="003C705B"/>
    <w:rsid w:val="003C7EF6"/>
    <w:rsid w:val="003D05D8"/>
    <w:rsid w:val="003D2DD7"/>
    <w:rsid w:val="003D2FD0"/>
    <w:rsid w:val="003D3AC1"/>
    <w:rsid w:val="003D5788"/>
    <w:rsid w:val="003D57A3"/>
    <w:rsid w:val="003D5983"/>
    <w:rsid w:val="003D6EA0"/>
    <w:rsid w:val="003D73AA"/>
    <w:rsid w:val="003D7A17"/>
    <w:rsid w:val="003E0487"/>
    <w:rsid w:val="003E04DC"/>
    <w:rsid w:val="003E0F7C"/>
    <w:rsid w:val="003E120F"/>
    <w:rsid w:val="003E2D1E"/>
    <w:rsid w:val="003E2D41"/>
    <w:rsid w:val="003E2EBF"/>
    <w:rsid w:val="003E3376"/>
    <w:rsid w:val="003E4260"/>
    <w:rsid w:val="003E6979"/>
    <w:rsid w:val="003E706E"/>
    <w:rsid w:val="003E7539"/>
    <w:rsid w:val="003E75DA"/>
    <w:rsid w:val="003E768E"/>
    <w:rsid w:val="003E7738"/>
    <w:rsid w:val="003F01BB"/>
    <w:rsid w:val="003F0D41"/>
    <w:rsid w:val="003F1618"/>
    <w:rsid w:val="003F3441"/>
    <w:rsid w:val="003F492E"/>
    <w:rsid w:val="003F620C"/>
    <w:rsid w:val="003F7064"/>
    <w:rsid w:val="003F70F6"/>
    <w:rsid w:val="003F7348"/>
    <w:rsid w:val="004011CC"/>
    <w:rsid w:val="00401537"/>
    <w:rsid w:val="00401D19"/>
    <w:rsid w:val="004021C1"/>
    <w:rsid w:val="00402EC7"/>
    <w:rsid w:val="00403717"/>
    <w:rsid w:val="00403876"/>
    <w:rsid w:val="00404477"/>
    <w:rsid w:val="00404E1B"/>
    <w:rsid w:val="00405882"/>
    <w:rsid w:val="00406927"/>
    <w:rsid w:val="00406E72"/>
    <w:rsid w:val="00407212"/>
    <w:rsid w:val="004076CC"/>
    <w:rsid w:val="00407A10"/>
    <w:rsid w:val="00410D17"/>
    <w:rsid w:val="004111BA"/>
    <w:rsid w:val="0041147C"/>
    <w:rsid w:val="004114D1"/>
    <w:rsid w:val="00413158"/>
    <w:rsid w:val="00413379"/>
    <w:rsid w:val="00413E43"/>
    <w:rsid w:val="00413F90"/>
    <w:rsid w:val="0041419E"/>
    <w:rsid w:val="00414743"/>
    <w:rsid w:val="004147D8"/>
    <w:rsid w:val="0041549A"/>
    <w:rsid w:val="00415A4A"/>
    <w:rsid w:val="00416346"/>
    <w:rsid w:val="00416E36"/>
    <w:rsid w:val="004172DC"/>
    <w:rsid w:val="00417B13"/>
    <w:rsid w:val="004208F4"/>
    <w:rsid w:val="0042125C"/>
    <w:rsid w:val="0042176C"/>
    <w:rsid w:val="004231EF"/>
    <w:rsid w:val="004242CD"/>
    <w:rsid w:val="004246DE"/>
    <w:rsid w:val="004249EC"/>
    <w:rsid w:val="00424FD4"/>
    <w:rsid w:val="00425343"/>
    <w:rsid w:val="00426617"/>
    <w:rsid w:val="00427944"/>
    <w:rsid w:val="00427D4C"/>
    <w:rsid w:val="004300C0"/>
    <w:rsid w:val="004313AF"/>
    <w:rsid w:val="004315FB"/>
    <w:rsid w:val="0043179D"/>
    <w:rsid w:val="004331F6"/>
    <w:rsid w:val="00433C78"/>
    <w:rsid w:val="0043420F"/>
    <w:rsid w:val="00434DEE"/>
    <w:rsid w:val="00435783"/>
    <w:rsid w:val="004363DF"/>
    <w:rsid w:val="00436BDC"/>
    <w:rsid w:val="00436FEE"/>
    <w:rsid w:val="0044039C"/>
    <w:rsid w:val="004409DC"/>
    <w:rsid w:val="00442350"/>
    <w:rsid w:val="00443A2F"/>
    <w:rsid w:val="00444020"/>
    <w:rsid w:val="004440CD"/>
    <w:rsid w:val="004444B7"/>
    <w:rsid w:val="0044547D"/>
    <w:rsid w:val="00445ED7"/>
    <w:rsid w:val="00445F7E"/>
    <w:rsid w:val="00447182"/>
    <w:rsid w:val="00450157"/>
    <w:rsid w:val="0045020E"/>
    <w:rsid w:val="00450ED4"/>
    <w:rsid w:val="0045196F"/>
    <w:rsid w:val="004523E1"/>
    <w:rsid w:val="00452D4D"/>
    <w:rsid w:val="00453630"/>
    <w:rsid w:val="00453FBF"/>
    <w:rsid w:val="00456150"/>
    <w:rsid w:val="00456BA7"/>
    <w:rsid w:val="00456E29"/>
    <w:rsid w:val="00457530"/>
    <w:rsid w:val="00457A90"/>
    <w:rsid w:val="00460B37"/>
    <w:rsid w:val="00461163"/>
    <w:rsid w:val="00461532"/>
    <w:rsid w:val="00462B4D"/>
    <w:rsid w:val="0046389E"/>
    <w:rsid w:val="00463AC8"/>
    <w:rsid w:val="00463DB2"/>
    <w:rsid w:val="00464358"/>
    <w:rsid w:val="004652CA"/>
    <w:rsid w:val="00465D40"/>
    <w:rsid w:val="00466767"/>
    <w:rsid w:val="0046753F"/>
    <w:rsid w:val="00471C4A"/>
    <w:rsid w:val="00471DD8"/>
    <w:rsid w:val="00473927"/>
    <w:rsid w:val="00473BB3"/>
    <w:rsid w:val="00473DE5"/>
    <w:rsid w:val="00474367"/>
    <w:rsid w:val="004745CB"/>
    <w:rsid w:val="00476CA7"/>
    <w:rsid w:val="00480172"/>
    <w:rsid w:val="00480FA7"/>
    <w:rsid w:val="00481470"/>
    <w:rsid w:val="0048160E"/>
    <w:rsid w:val="0048244C"/>
    <w:rsid w:val="00484309"/>
    <w:rsid w:val="004843FB"/>
    <w:rsid w:val="004846CC"/>
    <w:rsid w:val="00484C60"/>
    <w:rsid w:val="00484F96"/>
    <w:rsid w:val="004850B0"/>
    <w:rsid w:val="0048535B"/>
    <w:rsid w:val="004859B6"/>
    <w:rsid w:val="00486736"/>
    <w:rsid w:val="00486AC2"/>
    <w:rsid w:val="00486DD8"/>
    <w:rsid w:val="00487540"/>
    <w:rsid w:val="00487E1C"/>
    <w:rsid w:val="00490497"/>
    <w:rsid w:val="00490B40"/>
    <w:rsid w:val="00490BF7"/>
    <w:rsid w:val="00491F01"/>
    <w:rsid w:val="00491F84"/>
    <w:rsid w:val="004922AD"/>
    <w:rsid w:val="004927D2"/>
    <w:rsid w:val="00493A2E"/>
    <w:rsid w:val="00493EFD"/>
    <w:rsid w:val="00495902"/>
    <w:rsid w:val="00495DD9"/>
    <w:rsid w:val="004966AD"/>
    <w:rsid w:val="00496ED8"/>
    <w:rsid w:val="0049702C"/>
    <w:rsid w:val="004A0276"/>
    <w:rsid w:val="004A1645"/>
    <w:rsid w:val="004A2003"/>
    <w:rsid w:val="004A2054"/>
    <w:rsid w:val="004A20F0"/>
    <w:rsid w:val="004A26D2"/>
    <w:rsid w:val="004A3730"/>
    <w:rsid w:val="004A43C2"/>
    <w:rsid w:val="004A4831"/>
    <w:rsid w:val="004A4CED"/>
    <w:rsid w:val="004A5209"/>
    <w:rsid w:val="004A6181"/>
    <w:rsid w:val="004A6583"/>
    <w:rsid w:val="004A696F"/>
    <w:rsid w:val="004A716B"/>
    <w:rsid w:val="004A74C9"/>
    <w:rsid w:val="004B06B7"/>
    <w:rsid w:val="004B1073"/>
    <w:rsid w:val="004B119D"/>
    <w:rsid w:val="004B3CA8"/>
    <w:rsid w:val="004B426F"/>
    <w:rsid w:val="004B4328"/>
    <w:rsid w:val="004B4625"/>
    <w:rsid w:val="004B4EF5"/>
    <w:rsid w:val="004B4F7E"/>
    <w:rsid w:val="004C14DE"/>
    <w:rsid w:val="004C1B67"/>
    <w:rsid w:val="004C1E5C"/>
    <w:rsid w:val="004C228D"/>
    <w:rsid w:val="004C3684"/>
    <w:rsid w:val="004C5B64"/>
    <w:rsid w:val="004C6DC8"/>
    <w:rsid w:val="004C7514"/>
    <w:rsid w:val="004C7941"/>
    <w:rsid w:val="004C7B86"/>
    <w:rsid w:val="004C7CF6"/>
    <w:rsid w:val="004C7EB6"/>
    <w:rsid w:val="004D11AB"/>
    <w:rsid w:val="004D11BA"/>
    <w:rsid w:val="004D11D9"/>
    <w:rsid w:val="004D2287"/>
    <w:rsid w:val="004D41B8"/>
    <w:rsid w:val="004D4232"/>
    <w:rsid w:val="004D4498"/>
    <w:rsid w:val="004D5164"/>
    <w:rsid w:val="004D5C5D"/>
    <w:rsid w:val="004D6168"/>
    <w:rsid w:val="004D6315"/>
    <w:rsid w:val="004D6F34"/>
    <w:rsid w:val="004D6FDA"/>
    <w:rsid w:val="004D7004"/>
    <w:rsid w:val="004D705B"/>
    <w:rsid w:val="004D79D3"/>
    <w:rsid w:val="004E0355"/>
    <w:rsid w:val="004E07E0"/>
    <w:rsid w:val="004E0E13"/>
    <w:rsid w:val="004E0E9E"/>
    <w:rsid w:val="004E106B"/>
    <w:rsid w:val="004E1BB7"/>
    <w:rsid w:val="004E1BFA"/>
    <w:rsid w:val="004E1CDD"/>
    <w:rsid w:val="004E246A"/>
    <w:rsid w:val="004E29A3"/>
    <w:rsid w:val="004E3D24"/>
    <w:rsid w:val="004E6BFB"/>
    <w:rsid w:val="004E7611"/>
    <w:rsid w:val="004E7A2C"/>
    <w:rsid w:val="004E7EF0"/>
    <w:rsid w:val="004F0BE3"/>
    <w:rsid w:val="004F20AD"/>
    <w:rsid w:val="004F3162"/>
    <w:rsid w:val="004F3E27"/>
    <w:rsid w:val="004F44E9"/>
    <w:rsid w:val="004F460F"/>
    <w:rsid w:val="004F472F"/>
    <w:rsid w:val="004F50AB"/>
    <w:rsid w:val="004F5BBD"/>
    <w:rsid w:val="004F64F1"/>
    <w:rsid w:val="004F6C0E"/>
    <w:rsid w:val="0050024E"/>
    <w:rsid w:val="00500F75"/>
    <w:rsid w:val="00501080"/>
    <w:rsid w:val="005021EC"/>
    <w:rsid w:val="005023C3"/>
    <w:rsid w:val="005024BD"/>
    <w:rsid w:val="005038E8"/>
    <w:rsid w:val="00504059"/>
    <w:rsid w:val="00504212"/>
    <w:rsid w:val="00504590"/>
    <w:rsid w:val="0050498D"/>
    <w:rsid w:val="00504B34"/>
    <w:rsid w:val="005055C9"/>
    <w:rsid w:val="00507696"/>
    <w:rsid w:val="005079B8"/>
    <w:rsid w:val="00507B2E"/>
    <w:rsid w:val="00510AA2"/>
    <w:rsid w:val="00511ACC"/>
    <w:rsid w:val="00512B6E"/>
    <w:rsid w:val="0051548A"/>
    <w:rsid w:val="0051591F"/>
    <w:rsid w:val="00515DA5"/>
    <w:rsid w:val="0052035A"/>
    <w:rsid w:val="00520470"/>
    <w:rsid w:val="00520F71"/>
    <w:rsid w:val="00521113"/>
    <w:rsid w:val="00521E92"/>
    <w:rsid w:val="005226D6"/>
    <w:rsid w:val="00522DBD"/>
    <w:rsid w:val="00523A82"/>
    <w:rsid w:val="00525217"/>
    <w:rsid w:val="00525407"/>
    <w:rsid w:val="00525704"/>
    <w:rsid w:val="00525EA8"/>
    <w:rsid w:val="00525EB8"/>
    <w:rsid w:val="00525FF0"/>
    <w:rsid w:val="0052623F"/>
    <w:rsid w:val="0052627F"/>
    <w:rsid w:val="005265A0"/>
    <w:rsid w:val="00526B46"/>
    <w:rsid w:val="00526D7E"/>
    <w:rsid w:val="005273D6"/>
    <w:rsid w:val="00527F2F"/>
    <w:rsid w:val="00531173"/>
    <w:rsid w:val="00532828"/>
    <w:rsid w:val="00532EFA"/>
    <w:rsid w:val="005334CF"/>
    <w:rsid w:val="00533E1D"/>
    <w:rsid w:val="00534CAB"/>
    <w:rsid w:val="00535154"/>
    <w:rsid w:val="00535F46"/>
    <w:rsid w:val="005369FE"/>
    <w:rsid w:val="00536E00"/>
    <w:rsid w:val="00537268"/>
    <w:rsid w:val="00537377"/>
    <w:rsid w:val="00540C5D"/>
    <w:rsid w:val="00541B86"/>
    <w:rsid w:val="00541C3F"/>
    <w:rsid w:val="005428D3"/>
    <w:rsid w:val="0054330E"/>
    <w:rsid w:val="00543976"/>
    <w:rsid w:val="00543A32"/>
    <w:rsid w:val="005456C7"/>
    <w:rsid w:val="00550419"/>
    <w:rsid w:val="00550474"/>
    <w:rsid w:val="00550627"/>
    <w:rsid w:val="005515AF"/>
    <w:rsid w:val="0055287E"/>
    <w:rsid w:val="00552C2A"/>
    <w:rsid w:val="005534A6"/>
    <w:rsid w:val="0055444E"/>
    <w:rsid w:val="00554AA2"/>
    <w:rsid w:val="00554F0A"/>
    <w:rsid w:val="0055581E"/>
    <w:rsid w:val="00556233"/>
    <w:rsid w:val="005566BE"/>
    <w:rsid w:val="005572B2"/>
    <w:rsid w:val="005572FC"/>
    <w:rsid w:val="0055757E"/>
    <w:rsid w:val="00561418"/>
    <w:rsid w:val="00563610"/>
    <w:rsid w:val="00564F63"/>
    <w:rsid w:val="00565388"/>
    <w:rsid w:val="00565983"/>
    <w:rsid w:val="00566764"/>
    <w:rsid w:val="0056758F"/>
    <w:rsid w:val="005676CC"/>
    <w:rsid w:val="005708A6"/>
    <w:rsid w:val="005710CC"/>
    <w:rsid w:val="0057119A"/>
    <w:rsid w:val="005711AB"/>
    <w:rsid w:val="0057171B"/>
    <w:rsid w:val="00572117"/>
    <w:rsid w:val="00572E30"/>
    <w:rsid w:val="005737F3"/>
    <w:rsid w:val="00573866"/>
    <w:rsid w:val="00573CC2"/>
    <w:rsid w:val="00574BBD"/>
    <w:rsid w:val="00575D8B"/>
    <w:rsid w:val="00576E09"/>
    <w:rsid w:val="005770D9"/>
    <w:rsid w:val="00580E72"/>
    <w:rsid w:val="00581086"/>
    <w:rsid w:val="0058236B"/>
    <w:rsid w:val="00583916"/>
    <w:rsid w:val="00584356"/>
    <w:rsid w:val="00584A6B"/>
    <w:rsid w:val="00584E95"/>
    <w:rsid w:val="00585B8F"/>
    <w:rsid w:val="00586C1C"/>
    <w:rsid w:val="00586E1A"/>
    <w:rsid w:val="00587511"/>
    <w:rsid w:val="0058778E"/>
    <w:rsid w:val="00587DEA"/>
    <w:rsid w:val="0059019A"/>
    <w:rsid w:val="00590FCF"/>
    <w:rsid w:val="005921D1"/>
    <w:rsid w:val="00592511"/>
    <w:rsid w:val="00592C30"/>
    <w:rsid w:val="00592D32"/>
    <w:rsid w:val="00592ED7"/>
    <w:rsid w:val="00593ED8"/>
    <w:rsid w:val="005940E1"/>
    <w:rsid w:val="005949CA"/>
    <w:rsid w:val="00594E85"/>
    <w:rsid w:val="00595219"/>
    <w:rsid w:val="0059527D"/>
    <w:rsid w:val="0059559D"/>
    <w:rsid w:val="005957AA"/>
    <w:rsid w:val="00595D21"/>
    <w:rsid w:val="00596260"/>
    <w:rsid w:val="005972C2"/>
    <w:rsid w:val="005974E4"/>
    <w:rsid w:val="00597913"/>
    <w:rsid w:val="005A1EC7"/>
    <w:rsid w:val="005A1F89"/>
    <w:rsid w:val="005A2A4F"/>
    <w:rsid w:val="005A31C7"/>
    <w:rsid w:val="005A38FB"/>
    <w:rsid w:val="005A3D36"/>
    <w:rsid w:val="005A40BD"/>
    <w:rsid w:val="005A55CD"/>
    <w:rsid w:val="005A5774"/>
    <w:rsid w:val="005A5A34"/>
    <w:rsid w:val="005A5B1B"/>
    <w:rsid w:val="005A5DAE"/>
    <w:rsid w:val="005A61B0"/>
    <w:rsid w:val="005A682B"/>
    <w:rsid w:val="005A7918"/>
    <w:rsid w:val="005B024F"/>
    <w:rsid w:val="005B11D9"/>
    <w:rsid w:val="005B1302"/>
    <w:rsid w:val="005B179F"/>
    <w:rsid w:val="005B1D11"/>
    <w:rsid w:val="005B1D73"/>
    <w:rsid w:val="005B26B3"/>
    <w:rsid w:val="005B2AF3"/>
    <w:rsid w:val="005B30FE"/>
    <w:rsid w:val="005B3646"/>
    <w:rsid w:val="005B3F81"/>
    <w:rsid w:val="005B41C7"/>
    <w:rsid w:val="005B41FE"/>
    <w:rsid w:val="005B4A71"/>
    <w:rsid w:val="005B55ED"/>
    <w:rsid w:val="005B62F8"/>
    <w:rsid w:val="005B71F5"/>
    <w:rsid w:val="005B7AE6"/>
    <w:rsid w:val="005C0666"/>
    <w:rsid w:val="005C0D21"/>
    <w:rsid w:val="005C11F4"/>
    <w:rsid w:val="005C1543"/>
    <w:rsid w:val="005C16F1"/>
    <w:rsid w:val="005C4009"/>
    <w:rsid w:val="005C4506"/>
    <w:rsid w:val="005C4B05"/>
    <w:rsid w:val="005C4D9D"/>
    <w:rsid w:val="005C55CB"/>
    <w:rsid w:val="005C6CD3"/>
    <w:rsid w:val="005C7E6B"/>
    <w:rsid w:val="005C7E75"/>
    <w:rsid w:val="005C7EC9"/>
    <w:rsid w:val="005D09FF"/>
    <w:rsid w:val="005D0CFF"/>
    <w:rsid w:val="005D12DA"/>
    <w:rsid w:val="005D1811"/>
    <w:rsid w:val="005D38A0"/>
    <w:rsid w:val="005D3FD2"/>
    <w:rsid w:val="005D4BC6"/>
    <w:rsid w:val="005D64E0"/>
    <w:rsid w:val="005D6E7F"/>
    <w:rsid w:val="005D739F"/>
    <w:rsid w:val="005D7912"/>
    <w:rsid w:val="005E036D"/>
    <w:rsid w:val="005E05E9"/>
    <w:rsid w:val="005E0E44"/>
    <w:rsid w:val="005E110A"/>
    <w:rsid w:val="005E14DB"/>
    <w:rsid w:val="005E15AB"/>
    <w:rsid w:val="005E30FD"/>
    <w:rsid w:val="005E4CAF"/>
    <w:rsid w:val="005E4F7F"/>
    <w:rsid w:val="005E5B9D"/>
    <w:rsid w:val="005E6079"/>
    <w:rsid w:val="005E6AAA"/>
    <w:rsid w:val="005E6C09"/>
    <w:rsid w:val="005E6EC9"/>
    <w:rsid w:val="005E7C36"/>
    <w:rsid w:val="005F09A8"/>
    <w:rsid w:val="005F173A"/>
    <w:rsid w:val="005F176B"/>
    <w:rsid w:val="005F1A84"/>
    <w:rsid w:val="005F1C98"/>
    <w:rsid w:val="005F238F"/>
    <w:rsid w:val="005F29A3"/>
    <w:rsid w:val="005F2A01"/>
    <w:rsid w:val="005F347D"/>
    <w:rsid w:val="005F376C"/>
    <w:rsid w:val="005F48EB"/>
    <w:rsid w:val="005F52BF"/>
    <w:rsid w:val="005F58D6"/>
    <w:rsid w:val="005F661F"/>
    <w:rsid w:val="005F7230"/>
    <w:rsid w:val="005F791B"/>
    <w:rsid w:val="006000EA"/>
    <w:rsid w:val="006003FE"/>
    <w:rsid w:val="0060062E"/>
    <w:rsid w:val="0060071A"/>
    <w:rsid w:val="006016DA"/>
    <w:rsid w:val="00601E99"/>
    <w:rsid w:val="0060477A"/>
    <w:rsid w:val="00604DD5"/>
    <w:rsid w:val="006056C5"/>
    <w:rsid w:val="006058D2"/>
    <w:rsid w:val="00605E77"/>
    <w:rsid w:val="00605FA4"/>
    <w:rsid w:val="006061FA"/>
    <w:rsid w:val="00607A40"/>
    <w:rsid w:val="00607E35"/>
    <w:rsid w:val="00607F03"/>
    <w:rsid w:val="00610CEE"/>
    <w:rsid w:val="00611E35"/>
    <w:rsid w:val="00611FD2"/>
    <w:rsid w:val="006128F5"/>
    <w:rsid w:val="00612C2E"/>
    <w:rsid w:val="00612EB6"/>
    <w:rsid w:val="00613A44"/>
    <w:rsid w:val="00614D24"/>
    <w:rsid w:val="00614FB3"/>
    <w:rsid w:val="006157CD"/>
    <w:rsid w:val="00615B2E"/>
    <w:rsid w:val="00616FF8"/>
    <w:rsid w:val="0061703B"/>
    <w:rsid w:val="00617EB6"/>
    <w:rsid w:val="00617EED"/>
    <w:rsid w:val="00621B39"/>
    <w:rsid w:val="00621F6B"/>
    <w:rsid w:val="00622FBA"/>
    <w:rsid w:val="00623D1C"/>
    <w:rsid w:val="006242BF"/>
    <w:rsid w:val="00625376"/>
    <w:rsid w:val="00625B6E"/>
    <w:rsid w:val="00625E37"/>
    <w:rsid w:val="006263CF"/>
    <w:rsid w:val="0062745F"/>
    <w:rsid w:val="0062787C"/>
    <w:rsid w:val="00630028"/>
    <w:rsid w:val="0063053A"/>
    <w:rsid w:val="00630D00"/>
    <w:rsid w:val="00630EEC"/>
    <w:rsid w:val="00631225"/>
    <w:rsid w:val="006314B4"/>
    <w:rsid w:val="006320DB"/>
    <w:rsid w:val="006320F5"/>
    <w:rsid w:val="00632896"/>
    <w:rsid w:val="00632908"/>
    <w:rsid w:val="006331FB"/>
    <w:rsid w:val="00633553"/>
    <w:rsid w:val="00633EF4"/>
    <w:rsid w:val="00634608"/>
    <w:rsid w:val="00634D5A"/>
    <w:rsid w:val="00634EA0"/>
    <w:rsid w:val="0063615E"/>
    <w:rsid w:val="0063748B"/>
    <w:rsid w:val="006406DC"/>
    <w:rsid w:val="006407F8"/>
    <w:rsid w:val="00640C76"/>
    <w:rsid w:val="00640F77"/>
    <w:rsid w:val="0064177B"/>
    <w:rsid w:val="006427C6"/>
    <w:rsid w:val="00642AF7"/>
    <w:rsid w:val="00643099"/>
    <w:rsid w:val="006432CC"/>
    <w:rsid w:val="006443CA"/>
    <w:rsid w:val="00644545"/>
    <w:rsid w:val="00644ECC"/>
    <w:rsid w:val="00645635"/>
    <w:rsid w:val="006469F3"/>
    <w:rsid w:val="00647859"/>
    <w:rsid w:val="00647EE9"/>
    <w:rsid w:val="0065013F"/>
    <w:rsid w:val="00650E77"/>
    <w:rsid w:val="006517D1"/>
    <w:rsid w:val="0065189C"/>
    <w:rsid w:val="00651BEA"/>
    <w:rsid w:val="00651D78"/>
    <w:rsid w:val="006525FD"/>
    <w:rsid w:val="006533A4"/>
    <w:rsid w:val="00653DDF"/>
    <w:rsid w:val="00654054"/>
    <w:rsid w:val="006540F1"/>
    <w:rsid w:val="00654EDF"/>
    <w:rsid w:val="0065529D"/>
    <w:rsid w:val="006573DC"/>
    <w:rsid w:val="00657B70"/>
    <w:rsid w:val="00657F4E"/>
    <w:rsid w:val="006601BD"/>
    <w:rsid w:val="00660465"/>
    <w:rsid w:val="00660666"/>
    <w:rsid w:val="00660DA6"/>
    <w:rsid w:val="00661357"/>
    <w:rsid w:val="006616F3"/>
    <w:rsid w:val="0066249F"/>
    <w:rsid w:val="00663E2D"/>
    <w:rsid w:val="0066443A"/>
    <w:rsid w:val="006646D8"/>
    <w:rsid w:val="00664CD9"/>
    <w:rsid w:val="006651ED"/>
    <w:rsid w:val="006653E3"/>
    <w:rsid w:val="006665D3"/>
    <w:rsid w:val="00667727"/>
    <w:rsid w:val="00667D25"/>
    <w:rsid w:val="006704C9"/>
    <w:rsid w:val="00670FCA"/>
    <w:rsid w:val="006711F2"/>
    <w:rsid w:val="0067148A"/>
    <w:rsid w:val="00672963"/>
    <w:rsid w:val="00673D2A"/>
    <w:rsid w:val="00674BC4"/>
    <w:rsid w:val="00674BF2"/>
    <w:rsid w:val="00676498"/>
    <w:rsid w:val="00676756"/>
    <w:rsid w:val="006767FE"/>
    <w:rsid w:val="00676AC2"/>
    <w:rsid w:val="00676D5E"/>
    <w:rsid w:val="00677CCE"/>
    <w:rsid w:val="00680AFF"/>
    <w:rsid w:val="00680DA3"/>
    <w:rsid w:val="00682E1A"/>
    <w:rsid w:val="00683061"/>
    <w:rsid w:val="006831D5"/>
    <w:rsid w:val="006834B2"/>
    <w:rsid w:val="00684429"/>
    <w:rsid w:val="00685A33"/>
    <w:rsid w:val="00685E7A"/>
    <w:rsid w:val="00686343"/>
    <w:rsid w:val="00687208"/>
    <w:rsid w:val="0068753F"/>
    <w:rsid w:val="00690F4F"/>
    <w:rsid w:val="00691C21"/>
    <w:rsid w:val="00691DEE"/>
    <w:rsid w:val="006925A4"/>
    <w:rsid w:val="00692DC1"/>
    <w:rsid w:val="00694179"/>
    <w:rsid w:val="00694639"/>
    <w:rsid w:val="00694857"/>
    <w:rsid w:val="006956E6"/>
    <w:rsid w:val="006958F2"/>
    <w:rsid w:val="00695EAB"/>
    <w:rsid w:val="00696AD1"/>
    <w:rsid w:val="00696F72"/>
    <w:rsid w:val="00697C3B"/>
    <w:rsid w:val="006A106C"/>
    <w:rsid w:val="006A25F6"/>
    <w:rsid w:val="006A28F3"/>
    <w:rsid w:val="006A2BD9"/>
    <w:rsid w:val="006A2C32"/>
    <w:rsid w:val="006A3C9A"/>
    <w:rsid w:val="006A40B3"/>
    <w:rsid w:val="006A4296"/>
    <w:rsid w:val="006A7002"/>
    <w:rsid w:val="006B00FF"/>
    <w:rsid w:val="006B0310"/>
    <w:rsid w:val="006B0996"/>
    <w:rsid w:val="006B0B14"/>
    <w:rsid w:val="006B0F99"/>
    <w:rsid w:val="006B1586"/>
    <w:rsid w:val="006B1A9F"/>
    <w:rsid w:val="006B265F"/>
    <w:rsid w:val="006B2C3B"/>
    <w:rsid w:val="006B3E17"/>
    <w:rsid w:val="006B4199"/>
    <w:rsid w:val="006B419B"/>
    <w:rsid w:val="006B44A3"/>
    <w:rsid w:val="006B5DEE"/>
    <w:rsid w:val="006B5ECD"/>
    <w:rsid w:val="006B6189"/>
    <w:rsid w:val="006B76B1"/>
    <w:rsid w:val="006C0BFA"/>
    <w:rsid w:val="006C0E1E"/>
    <w:rsid w:val="006C11E6"/>
    <w:rsid w:val="006C1255"/>
    <w:rsid w:val="006C15A4"/>
    <w:rsid w:val="006C1EA2"/>
    <w:rsid w:val="006C27ED"/>
    <w:rsid w:val="006C2AD1"/>
    <w:rsid w:val="006C2EA8"/>
    <w:rsid w:val="006C3C3A"/>
    <w:rsid w:val="006C422C"/>
    <w:rsid w:val="006C425D"/>
    <w:rsid w:val="006C6BA5"/>
    <w:rsid w:val="006C6BCF"/>
    <w:rsid w:val="006C7684"/>
    <w:rsid w:val="006C7F17"/>
    <w:rsid w:val="006D0960"/>
    <w:rsid w:val="006D1E39"/>
    <w:rsid w:val="006D1F8E"/>
    <w:rsid w:val="006D3455"/>
    <w:rsid w:val="006D49AA"/>
    <w:rsid w:val="006D6160"/>
    <w:rsid w:val="006D6B41"/>
    <w:rsid w:val="006E0208"/>
    <w:rsid w:val="006E0EE1"/>
    <w:rsid w:val="006E1B56"/>
    <w:rsid w:val="006E2393"/>
    <w:rsid w:val="006E2B3C"/>
    <w:rsid w:val="006E2F52"/>
    <w:rsid w:val="006E3324"/>
    <w:rsid w:val="006E34C6"/>
    <w:rsid w:val="006E4648"/>
    <w:rsid w:val="006E4E9F"/>
    <w:rsid w:val="006E5246"/>
    <w:rsid w:val="006E5476"/>
    <w:rsid w:val="006E63A2"/>
    <w:rsid w:val="006E643A"/>
    <w:rsid w:val="006E6937"/>
    <w:rsid w:val="006F05E1"/>
    <w:rsid w:val="006F0F82"/>
    <w:rsid w:val="006F1808"/>
    <w:rsid w:val="006F290D"/>
    <w:rsid w:val="006F2B97"/>
    <w:rsid w:val="006F3C73"/>
    <w:rsid w:val="006F3F1A"/>
    <w:rsid w:val="006F403C"/>
    <w:rsid w:val="006F6723"/>
    <w:rsid w:val="006F67E4"/>
    <w:rsid w:val="006F7BF6"/>
    <w:rsid w:val="006F7F1C"/>
    <w:rsid w:val="007002EB"/>
    <w:rsid w:val="00700D21"/>
    <w:rsid w:val="00701192"/>
    <w:rsid w:val="0070150F"/>
    <w:rsid w:val="0070166B"/>
    <w:rsid w:val="00702F83"/>
    <w:rsid w:val="00704281"/>
    <w:rsid w:val="00704D85"/>
    <w:rsid w:val="007050EC"/>
    <w:rsid w:val="00705E24"/>
    <w:rsid w:val="00705E9A"/>
    <w:rsid w:val="00705ED8"/>
    <w:rsid w:val="00706147"/>
    <w:rsid w:val="00706183"/>
    <w:rsid w:val="00706448"/>
    <w:rsid w:val="007068C1"/>
    <w:rsid w:val="007071BB"/>
    <w:rsid w:val="007079AA"/>
    <w:rsid w:val="00707A48"/>
    <w:rsid w:val="00707F0C"/>
    <w:rsid w:val="00712920"/>
    <w:rsid w:val="00713530"/>
    <w:rsid w:val="00713799"/>
    <w:rsid w:val="00714786"/>
    <w:rsid w:val="00714D99"/>
    <w:rsid w:val="007151D1"/>
    <w:rsid w:val="00715C4B"/>
    <w:rsid w:val="00715D26"/>
    <w:rsid w:val="00716066"/>
    <w:rsid w:val="0071628F"/>
    <w:rsid w:val="00716603"/>
    <w:rsid w:val="00716793"/>
    <w:rsid w:val="00716D16"/>
    <w:rsid w:val="00716D20"/>
    <w:rsid w:val="00717299"/>
    <w:rsid w:val="007172A1"/>
    <w:rsid w:val="00717ADA"/>
    <w:rsid w:val="00717BA1"/>
    <w:rsid w:val="00717C8E"/>
    <w:rsid w:val="007200E3"/>
    <w:rsid w:val="00720167"/>
    <w:rsid w:val="00720789"/>
    <w:rsid w:val="00720B4D"/>
    <w:rsid w:val="00720B52"/>
    <w:rsid w:val="007218CF"/>
    <w:rsid w:val="00721BAE"/>
    <w:rsid w:val="007227A7"/>
    <w:rsid w:val="00722DD1"/>
    <w:rsid w:val="007232F1"/>
    <w:rsid w:val="00723E08"/>
    <w:rsid w:val="0072573A"/>
    <w:rsid w:val="007262F9"/>
    <w:rsid w:val="00727C3B"/>
    <w:rsid w:val="00730844"/>
    <w:rsid w:val="00731285"/>
    <w:rsid w:val="00731AE0"/>
    <w:rsid w:val="007323B0"/>
    <w:rsid w:val="00732948"/>
    <w:rsid w:val="00732D0C"/>
    <w:rsid w:val="0073383B"/>
    <w:rsid w:val="00733AD4"/>
    <w:rsid w:val="00733EBF"/>
    <w:rsid w:val="007340C6"/>
    <w:rsid w:val="00734C4B"/>
    <w:rsid w:val="00735667"/>
    <w:rsid w:val="00735A5E"/>
    <w:rsid w:val="00735A93"/>
    <w:rsid w:val="00736763"/>
    <w:rsid w:val="00740AAD"/>
    <w:rsid w:val="00740FEE"/>
    <w:rsid w:val="007420F1"/>
    <w:rsid w:val="007426AA"/>
    <w:rsid w:val="007428B3"/>
    <w:rsid w:val="00744C01"/>
    <w:rsid w:val="00745DE4"/>
    <w:rsid w:val="007462CC"/>
    <w:rsid w:val="0074695A"/>
    <w:rsid w:val="00746F5A"/>
    <w:rsid w:val="007473E7"/>
    <w:rsid w:val="007504EB"/>
    <w:rsid w:val="00750518"/>
    <w:rsid w:val="00751166"/>
    <w:rsid w:val="007519B8"/>
    <w:rsid w:val="00752624"/>
    <w:rsid w:val="00752783"/>
    <w:rsid w:val="00752CDB"/>
    <w:rsid w:val="00752D5D"/>
    <w:rsid w:val="00753D8A"/>
    <w:rsid w:val="00754E93"/>
    <w:rsid w:val="007555B6"/>
    <w:rsid w:val="007563CB"/>
    <w:rsid w:val="00756423"/>
    <w:rsid w:val="0075666E"/>
    <w:rsid w:val="007601A7"/>
    <w:rsid w:val="007605FC"/>
    <w:rsid w:val="00760809"/>
    <w:rsid w:val="00760D8D"/>
    <w:rsid w:val="007617E9"/>
    <w:rsid w:val="0076196E"/>
    <w:rsid w:val="00761A63"/>
    <w:rsid w:val="00762F33"/>
    <w:rsid w:val="007634D4"/>
    <w:rsid w:val="0076433D"/>
    <w:rsid w:val="007654DD"/>
    <w:rsid w:val="007663B6"/>
    <w:rsid w:val="0076677A"/>
    <w:rsid w:val="007668F7"/>
    <w:rsid w:val="00766A1D"/>
    <w:rsid w:val="00767324"/>
    <w:rsid w:val="007706C0"/>
    <w:rsid w:val="007716DE"/>
    <w:rsid w:val="0077175A"/>
    <w:rsid w:val="00771793"/>
    <w:rsid w:val="00771DA9"/>
    <w:rsid w:val="00772942"/>
    <w:rsid w:val="00773792"/>
    <w:rsid w:val="007742BA"/>
    <w:rsid w:val="00774400"/>
    <w:rsid w:val="0077533F"/>
    <w:rsid w:val="00775635"/>
    <w:rsid w:val="007756DC"/>
    <w:rsid w:val="007768A7"/>
    <w:rsid w:val="00777945"/>
    <w:rsid w:val="00780467"/>
    <w:rsid w:val="00780B2A"/>
    <w:rsid w:val="00780B5A"/>
    <w:rsid w:val="007814A6"/>
    <w:rsid w:val="007816C2"/>
    <w:rsid w:val="00781BA9"/>
    <w:rsid w:val="00781FCD"/>
    <w:rsid w:val="00782356"/>
    <w:rsid w:val="007827C4"/>
    <w:rsid w:val="0078326F"/>
    <w:rsid w:val="00783406"/>
    <w:rsid w:val="00783D72"/>
    <w:rsid w:val="007844FD"/>
    <w:rsid w:val="00784698"/>
    <w:rsid w:val="00784CF2"/>
    <w:rsid w:val="007851AC"/>
    <w:rsid w:val="00785311"/>
    <w:rsid w:val="0078622F"/>
    <w:rsid w:val="007867DA"/>
    <w:rsid w:val="0078707D"/>
    <w:rsid w:val="0078722E"/>
    <w:rsid w:val="007874F5"/>
    <w:rsid w:val="0078760E"/>
    <w:rsid w:val="00787EE5"/>
    <w:rsid w:val="00790627"/>
    <w:rsid w:val="00790723"/>
    <w:rsid w:val="00790E3F"/>
    <w:rsid w:val="00791830"/>
    <w:rsid w:val="00791F73"/>
    <w:rsid w:val="007921B9"/>
    <w:rsid w:val="007925CC"/>
    <w:rsid w:val="00792D47"/>
    <w:rsid w:val="0079355E"/>
    <w:rsid w:val="007935B0"/>
    <w:rsid w:val="00794A10"/>
    <w:rsid w:val="00794A16"/>
    <w:rsid w:val="00794CBF"/>
    <w:rsid w:val="00794ED4"/>
    <w:rsid w:val="00795DB5"/>
    <w:rsid w:val="007A07FE"/>
    <w:rsid w:val="007A09E1"/>
    <w:rsid w:val="007A3084"/>
    <w:rsid w:val="007A361F"/>
    <w:rsid w:val="007A55CB"/>
    <w:rsid w:val="007A56CB"/>
    <w:rsid w:val="007A5813"/>
    <w:rsid w:val="007A5CF2"/>
    <w:rsid w:val="007A608F"/>
    <w:rsid w:val="007A6AB2"/>
    <w:rsid w:val="007A706D"/>
    <w:rsid w:val="007A7093"/>
    <w:rsid w:val="007A75DD"/>
    <w:rsid w:val="007A7894"/>
    <w:rsid w:val="007A7CC2"/>
    <w:rsid w:val="007A7F96"/>
    <w:rsid w:val="007B0035"/>
    <w:rsid w:val="007B0798"/>
    <w:rsid w:val="007B12AB"/>
    <w:rsid w:val="007B2743"/>
    <w:rsid w:val="007B27DB"/>
    <w:rsid w:val="007B2D61"/>
    <w:rsid w:val="007B4CF5"/>
    <w:rsid w:val="007B5754"/>
    <w:rsid w:val="007B5915"/>
    <w:rsid w:val="007B6BD0"/>
    <w:rsid w:val="007B74BC"/>
    <w:rsid w:val="007B776C"/>
    <w:rsid w:val="007B7B6A"/>
    <w:rsid w:val="007C02C9"/>
    <w:rsid w:val="007C0390"/>
    <w:rsid w:val="007C11AE"/>
    <w:rsid w:val="007C1D88"/>
    <w:rsid w:val="007C2853"/>
    <w:rsid w:val="007C364B"/>
    <w:rsid w:val="007C37EF"/>
    <w:rsid w:val="007C3876"/>
    <w:rsid w:val="007C3948"/>
    <w:rsid w:val="007C492A"/>
    <w:rsid w:val="007C78BC"/>
    <w:rsid w:val="007C7992"/>
    <w:rsid w:val="007C7BC9"/>
    <w:rsid w:val="007D112B"/>
    <w:rsid w:val="007D21D0"/>
    <w:rsid w:val="007D22C6"/>
    <w:rsid w:val="007D2FBD"/>
    <w:rsid w:val="007D4727"/>
    <w:rsid w:val="007D4F2C"/>
    <w:rsid w:val="007D5FCD"/>
    <w:rsid w:val="007D6106"/>
    <w:rsid w:val="007D709E"/>
    <w:rsid w:val="007D7204"/>
    <w:rsid w:val="007D72AB"/>
    <w:rsid w:val="007D75F2"/>
    <w:rsid w:val="007D7762"/>
    <w:rsid w:val="007D77EC"/>
    <w:rsid w:val="007D79EB"/>
    <w:rsid w:val="007E1C12"/>
    <w:rsid w:val="007E2123"/>
    <w:rsid w:val="007E2661"/>
    <w:rsid w:val="007E274D"/>
    <w:rsid w:val="007E2F2B"/>
    <w:rsid w:val="007E3E72"/>
    <w:rsid w:val="007E4E55"/>
    <w:rsid w:val="007E59C3"/>
    <w:rsid w:val="007E5FC8"/>
    <w:rsid w:val="007E63A9"/>
    <w:rsid w:val="007E65BD"/>
    <w:rsid w:val="007E695D"/>
    <w:rsid w:val="007E72EE"/>
    <w:rsid w:val="007E7975"/>
    <w:rsid w:val="007F0B9A"/>
    <w:rsid w:val="007F3D19"/>
    <w:rsid w:val="007F44D6"/>
    <w:rsid w:val="007F481A"/>
    <w:rsid w:val="007F4945"/>
    <w:rsid w:val="007F6436"/>
    <w:rsid w:val="007F7110"/>
    <w:rsid w:val="007F749C"/>
    <w:rsid w:val="007F7A1B"/>
    <w:rsid w:val="00800C39"/>
    <w:rsid w:val="00801019"/>
    <w:rsid w:val="008010B7"/>
    <w:rsid w:val="0080146C"/>
    <w:rsid w:val="00801605"/>
    <w:rsid w:val="00801784"/>
    <w:rsid w:val="00802077"/>
    <w:rsid w:val="00802305"/>
    <w:rsid w:val="008023BF"/>
    <w:rsid w:val="00802F21"/>
    <w:rsid w:val="0080319E"/>
    <w:rsid w:val="008034BA"/>
    <w:rsid w:val="008035C4"/>
    <w:rsid w:val="00803C75"/>
    <w:rsid w:val="00804E9E"/>
    <w:rsid w:val="00804EC3"/>
    <w:rsid w:val="0080546B"/>
    <w:rsid w:val="008054EC"/>
    <w:rsid w:val="00805F00"/>
    <w:rsid w:val="008060B7"/>
    <w:rsid w:val="008063B5"/>
    <w:rsid w:val="00806450"/>
    <w:rsid w:val="00806DF4"/>
    <w:rsid w:val="00807206"/>
    <w:rsid w:val="00807386"/>
    <w:rsid w:val="008104CD"/>
    <w:rsid w:val="00811489"/>
    <w:rsid w:val="00811B8D"/>
    <w:rsid w:val="008123CA"/>
    <w:rsid w:val="00812D7C"/>
    <w:rsid w:val="00814A76"/>
    <w:rsid w:val="00814FF9"/>
    <w:rsid w:val="00816482"/>
    <w:rsid w:val="00817298"/>
    <w:rsid w:val="008176C9"/>
    <w:rsid w:val="00817E9D"/>
    <w:rsid w:val="00820575"/>
    <w:rsid w:val="008210EB"/>
    <w:rsid w:val="0082196D"/>
    <w:rsid w:val="00823966"/>
    <w:rsid w:val="00824C6B"/>
    <w:rsid w:val="00825178"/>
    <w:rsid w:val="00825F3B"/>
    <w:rsid w:val="008263DA"/>
    <w:rsid w:val="00826508"/>
    <w:rsid w:val="00826BDA"/>
    <w:rsid w:val="00827631"/>
    <w:rsid w:val="00827DFB"/>
    <w:rsid w:val="00830B39"/>
    <w:rsid w:val="008322AF"/>
    <w:rsid w:val="00832E88"/>
    <w:rsid w:val="0083358F"/>
    <w:rsid w:val="00833D6D"/>
    <w:rsid w:val="00834407"/>
    <w:rsid w:val="008359A2"/>
    <w:rsid w:val="00836402"/>
    <w:rsid w:val="00836C10"/>
    <w:rsid w:val="00836F36"/>
    <w:rsid w:val="008375A4"/>
    <w:rsid w:val="00837CC0"/>
    <w:rsid w:val="00837E72"/>
    <w:rsid w:val="008411CA"/>
    <w:rsid w:val="008417D4"/>
    <w:rsid w:val="00841C25"/>
    <w:rsid w:val="00841C94"/>
    <w:rsid w:val="00842F15"/>
    <w:rsid w:val="00844E7D"/>
    <w:rsid w:val="00845F76"/>
    <w:rsid w:val="00845FDB"/>
    <w:rsid w:val="00847D17"/>
    <w:rsid w:val="00847F76"/>
    <w:rsid w:val="008501F7"/>
    <w:rsid w:val="00850E42"/>
    <w:rsid w:val="0085202D"/>
    <w:rsid w:val="00852DDF"/>
    <w:rsid w:val="00852E13"/>
    <w:rsid w:val="008535BA"/>
    <w:rsid w:val="008535C4"/>
    <w:rsid w:val="00853F93"/>
    <w:rsid w:val="008546C8"/>
    <w:rsid w:val="008549AB"/>
    <w:rsid w:val="00856E9F"/>
    <w:rsid w:val="00857D65"/>
    <w:rsid w:val="00860602"/>
    <w:rsid w:val="00860640"/>
    <w:rsid w:val="008616A7"/>
    <w:rsid w:val="00861F7D"/>
    <w:rsid w:val="008620AC"/>
    <w:rsid w:val="00862677"/>
    <w:rsid w:val="00864797"/>
    <w:rsid w:val="00864B46"/>
    <w:rsid w:val="00864E53"/>
    <w:rsid w:val="00865498"/>
    <w:rsid w:val="00866286"/>
    <w:rsid w:val="00866DCA"/>
    <w:rsid w:val="008679F9"/>
    <w:rsid w:val="00867AA2"/>
    <w:rsid w:val="00872CF8"/>
    <w:rsid w:val="00873940"/>
    <w:rsid w:val="00874BC2"/>
    <w:rsid w:val="00875A0A"/>
    <w:rsid w:val="008760AB"/>
    <w:rsid w:val="008762AB"/>
    <w:rsid w:val="008767BA"/>
    <w:rsid w:val="00880F26"/>
    <w:rsid w:val="00880FD6"/>
    <w:rsid w:val="008817D9"/>
    <w:rsid w:val="00881A68"/>
    <w:rsid w:val="008825F1"/>
    <w:rsid w:val="00883352"/>
    <w:rsid w:val="00884DC6"/>
    <w:rsid w:val="00884FB0"/>
    <w:rsid w:val="00885FAE"/>
    <w:rsid w:val="00886008"/>
    <w:rsid w:val="0088703D"/>
    <w:rsid w:val="00887D73"/>
    <w:rsid w:val="00890D32"/>
    <w:rsid w:val="00891BF6"/>
    <w:rsid w:val="0089296D"/>
    <w:rsid w:val="00892D11"/>
    <w:rsid w:val="008938B1"/>
    <w:rsid w:val="00893D8E"/>
    <w:rsid w:val="00894BC0"/>
    <w:rsid w:val="008961BD"/>
    <w:rsid w:val="008A0CD1"/>
    <w:rsid w:val="008A1259"/>
    <w:rsid w:val="008A34A0"/>
    <w:rsid w:val="008A3525"/>
    <w:rsid w:val="008A4986"/>
    <w:rsid w:val="008A52BA"/>
    <w:rsid w:val="008A5334"/>
    <w:rsid w:val="008A54DC"/>
    <w:rsid w:val="008A558D"/>
    <w:rsid w:val="008A569A"/>
    <w:rsid w:val="008A5ABC"/>
    <w:rsid w:val="008A6524"/>
    <w:rsid w:val="008A67A4"/>
    <w:rsid w:val="008B049A"/>
    <w:rsid w:val="008B13DB"/>
    <w:rsid w:val="008B1B13"/>
    <w:rsid w:val="008B1EF1"/>
    <w:rsid w:val="008B2498"/>
    <w:rsid w:val="008B2567"/>
    <w:rsid w:val="008B3476"/>
    <w:rsid w:val="008B3B86"/>
    <w:rsid w:val="008B3F26"/>
    <w:rsid w:val="008B4101"/>
    <w:rsid w:val="008B449E"/>
    <w:rsid w:val="008B4B45"/>
    <w:rsid w:val="008B4BE7"/>
    <w:rsid w:val="008B4F93"/>
    <w:rsid w:val="008B4FAF"/>
    <w:rsid w:val="008B57ED"/>
    <w:rsid w:val="008B676A"/>
    <w:rsid w:val="008B7662"/>
    <w:rsid w:val="008B7801"/>
    <w:rsid w:val="008B7A02"/>
    <w:rsid w:val="008B7F6C"/>
    <w:rsid w:val="008C02EB"/>
    <w:rsid w:val="008C0C86"/>
    <w:rsid w:val="008C0EAE"/>
    <w:rsid w:val="008C269E"/>
    <w:rsid w:val="008C2C9B"/>
    <w:rsid w:val="008C3105"/>
    <w:rsid w:val="008C39EF"/>
    <w:rsid w:val="008C3CFC"/>
    <w:rsid w:val="008C3FAE"/>
    <w:rsid w:val="008C4502"/>
    <w:rsid w:val="008C594A"/>
    <w:rsid w:val="008C5AE9"/>
    <w:rsid w:val="008C652F"/>
    <w:rsid w:val="008C6666"/>
    <w:rsid w:val="008C6ADF"/>
    <w:rsid w:val="008C6B91"/>
    <w:rsid w:val="008C6C5D"/>
    <w:rsid w:val="008C76DA"/>
    <w:rsid w:val="008D0C5F"/>
    <w:rsid w:val="008D1107"/>
    <w:rsid w:val="008D32C4"/>
    <w:rsid w:val="008D338C"/>
    <w:rsid w:val="008D3489"/>
    <w:rsid w:val="008D3AE6"/>
    <w:rsid w:val="008D6ADB"/>
    <w:rsid w:val="008E13A0"/>
    <w:rsid w:val="008E1D35"/>
    <w:rsid w:val="008E230D"/>
    <w:rsid w:val="008E2B6C"/>
    <w:rsid w:val="008E2D7D"/>
    <w:rsid w:val="008E2FE4"/>
    <w:rsid w:val="008E3251"/>
    <w:rsid w:val="008E41B2"/>
    <w:rsid w:val="008E4271"/>
    <w:rsid w:val="008E46F1"/>
    <w:rsid w:val="008E51CF"/>
    <w:rsid w:val="008E5393"/>
    <w:rsid w:val="008E5BB6"/>
    <w:rsid w:val="008E6654"/>
    <w:rsid w:val="008E79FF"/>
    <w:rsid w:val="008E7B8A"/>
    <w:rsid w:val="008E7F39"/>
    <w:rsid w:val="008E7FBF"/>
    <w:rsid w:val="008F084B"/>
    <w:rsid w:val="008F0E54"/>
    <w:rsid w:val="008F0F1E"/>
    <w:rsid w:val="008F22FC"/>
    <w:rsid w:val="008F24EE"/>
    <w:rsid w:val="008F2E43"/>
    <w:rsid w:val="008F3194"/>
    <w:rsid w:val="008F48AE"/>
    <w:rsid w:val="008F5249"/>
    <w:rsid w:val="008F5CA9"/>
    <w:rsid w:val="008F664D"/>
    <w:rsid w:val="008F7231"/>
    <w:rsid w:val="008F7BE5"/>
    <w:rsid w:val="00900056"/>
    <w:rsid w:val="009000BA"/>
    <w:rsid w:val="009000F8"/>
    <w:rsid w:val="00900373"/>
    <w:rsid w:val="00900633"/>
    <w:rsid w:val="00900A62"/>
    <w:rsid w:val="00901166"/>
    <w:rsid w:val="0090140A"/>
    <w:rsid w:val="00901574"/>
    <w:rsid w:val="00903B41"/>
    <w:rsid w:val="00903FD9"/>
    <w:rsid w:val="00904659"/>
    <w:rsid w:val="00905727"/>
    <w:rsid w:val="00905D26"/>
    <w:rsid w:val="00906757"/>
    <w:rsid w:val="009109FC"/>
    <w:rsid w:val="00911353"/>
    <w:rsid w:val="009126A0"/>
    <w:rsid w:val="00913397"/>
    <w:rsid w:val="009137BC"/>
    <w:rsid w:val="00914219"/>
    <w:rsid w:val="00914A89"/>
    <w:rsid w:val="009177EB"/>
    <w:rsid w:val="009205A4"/>
    <w:rsid w:val="00920DA5"/>
    <w:rsid w:val="009213C9"/>
    <w:rsid w:val="00921621"/>
    <w:rsid w:val="0092303D"/>
    <w:rsid w:val="009237CE"/>
    <w:rsid w:val="00923B74"/>
    <w:rsid w:val="00924110"/>
    <w:rsid w:val="00924761"/>
    <w:rsid w:val="00924D88"/>
    <w:rsid w:val="009253D0"/>
    <w:rsid w:val="00925E92"/>
    <w:rsid w:val="00926186"/>
    <w:rsid w:val="00930589"/>
    <w:rsid w:val="009312CF"/>
    <w:rsid w:val="00931D39"/>
    <w:rsid w:val="0093229E"/>
    <w:rsid w:val="009322D2"/>
    <w:rsid w:val="00932CD2"/>
    <w:rsid w:val="009339BA"/>
    <w:rsid w:val="00935098"/>
    <w:rsid w:val="0093570C"/>
    <w:rsid w:val="009357C1"/>
    <w:rsid w:val="00935BD9"/>
    <w:rsid w:val="00935CA6"/>
    <w:rsid w:val="00935DF2"/>
    <w:rsid w:val="009361F2"/>
    <w:rsid w:val="00936A17"/>
    <w:rsid w:val="00936AC6"/>
    <w:rsid w:val="00937A03"/>
    <w:rsid w:val="00937B0F"/>
    <w:rsid w:val="00940EF9"/>
    <w:rsid w:val="009412BC"/>
    <w:rsid w:val="00943743"/>
    <w:rsid w:val="00943762"/>
    <w:rsid w:val="00943A09"/>
    <w:rsid w:val="00943BA7"/>
    <w:rsid w:val="00943CB6"/>
    <w:rsid w:val="00944283"/>
    <w:rsid w:val="00944321"/>
    <w:rsid w:val="00944792"/>
    <w:rsid w:val="00944A96"/>
    <w:rsid w:val="0094508D"/>
    <w:rsid w:val="00947DD0"/>
    <w:rsid w:val="009508B7"/>
    <w:rsid w:val="00951196"/>
    <w:rsid w:val="0095238E"/>
    <w:rsid w:val="009536D3"/>
    <w:rsid w:val="00953BEF"/>
    <w:rsid w:val="00953D3D"/>
    <w:rsid w:val="00953E15"/>
    <w:rsid w:val="00954284"/>
    <w:rsid w:val="00954770"/>
    <w:rsid w:val="00954870"/>
    <w:rsid w:val="009548E9"/>
    <w:rsid w:val="009554FF"/>
    <w:rsid w:val="00955B82"/>
    <w:rsid w:val="009566F2"/>
    <w:rsid w:val="00956BDB"/>
    <w:rsid w:val="009570D8"/>
    <w:rsid w:val="009600FB"/>
    <w:rsid w:val="0096054D"/>
    <w:rsid w:val="00960D36"/>
    <w:rsid w:val="00961174"/>
    <w:rsid w:val="00961778"/>
    <w:rsid w:val="0096192D"/>
    <w:rsid w:val="00962861"/>
    <w:rsid w:val="00962ACC"/>
    <w:rsid w:val="00963EB6"/>
    <w:rsid w:val="00963F6B"/>
    <w:rsid w:val="0096412F"/>
    <w:rsid w:val="00964F32"/>
    <w:rsid w:val="00967291"/>
    <w:rsid w:val="00967F99"/>
    <w:rsid w:val="009703A7"/>
    <w:rsid w:val="009709ED"/>
    <w:rsid w:val="009712E6"/>
    <w:rsid w:val="00972291"/>
    <w:rsid w:val="009744BB"/>
    <w:rsid w:val="009749C3"/>
    <w:rsid w:val="00974BCB"/>
    <w:rsid w:val="009758DC"/>
    <w:rsid w:val="0097652D"/>
    <w:rsid w:val="00976768"/>
    <w:rsid w:val="00977F33"/>
    <w:rsid w:val="00981283"/>
    <w:rsid w:val="009815E2"/>
    <w:rsid w:val="009815ED"/>
    <w:rsid w:val="00981A50"/>
    <w:rsid w:val="009826DA"/>
    <w:rsid w:val="00982D1C"/>
    <w:rsid w:val="00984204"/>
    <w:rsid w:val="009842A1"/>
    <w:rsid w:val="00984703"/>
    <w:rsid w:val="00984FBA"/>
    <w:rsid w:val="009855F8"/>
    <w:rsid w:val="00985926"/>
    <w:rsid w:val="0098608A"/>
    <w:rsid w:val="009861D3"/>
    <w:rsid w:val="00986A7C"/>
    <w:rsid w:val="009871C2"/>
    <w:rsid w:val="009878B4"/>
    <w:rsid w:val="0099180A"/>
    <w:rsid w:val="00993B79"/>
    <w:rsid w:val="00994BAA"/>
    <w:rsid w:val="009953CB"/>
    <w:rsid w:val="00995722"/>
    <w:rsid w:val="00995B9B"/>
    <w:rsid w:val="0099621A"/>
    <w:rsid w:val="009964F4"/>
    <w:rsid w:val="00996680"/>
    <w:rsid w:val="00996F61"/>
    <w:rsid w:val="00997C45"/>
    <w:rsid w:val="009A0E7A"/>
    <w:rsid w:val="009A185D"/>
    <w:rsid w:val="009A3800"/>
    <w:rsid w:val="009A4F19"/>
    <w:rsid w:val="009A5A10"/>
    <w:rsid w:val="009A68D3"/>
    <w:rsid w:val="009A6C7B"/>
    <w:rsid w:val="009A70B1"/>
    <w:rsid w:val="009A75F1"/>
    <w:rsid w:val="009A7728"/>
    <w:rsid w:val="009A7933"/>
    <w:rsid w:val="009B166C"/>
    <w:rsid w:val="009B2F12"/>
    <w:rsid w:val="009B3094"/>
    <w:rsid w:val="009B4150"/>
    <w:rsid w:val="009B5303"/>
    <w:rsid w:val="009B6866"/>
    <w:rsid w:val="009B68A1"/>
    <w:rsid w:val="009B742A"/>
    <w:rsid w:val="009B78BE"/>
    <w:rsid w:val="009C0801"/>
    <w:rsid w:val="009C0AE1"/>
    <w:rsid w:val="009C0D68"/>
    <w:rsid w:val="009C0E63"/>
    <w:rsid w:val="009C16F4"/>
    <w:rsid w:val="009C1D4F"/>
    <w:rsid w:val="009C25AD"/>
    <w:rsid w:val="009C3ABE"/>
    <w:rsid w:val="009C3BDF"/>
    <w:rsid w:val="009C58DD"/>
    <w:rsid w:val="009C5C83"/>
    <w:rsid w:val="009C7496"/>
    <w:rsid w:val="009C7DB9"/>
    <w:rsid w:val="009D018C"/>
    <w:rsid w:val="009D0603"/>
    <w:rsid w:val="009D11D7"/>
    <w:rsid w:val="009D17F3"/>
    <w:rsid w:val="009D18E8"/>
    <w:rsid w:val="009D1B5D"/>
    <w:rsid w:val="009D1F59"/>
    <w:rsid w:val="009D24B5"/>
    <w:rsid w:val="009D36B0"/>
    <w:rsid w:val="009D389C"/>
    <w:rsid w:val="009D3B27"/>
    <w:rsid w:val="009D3B92"/>
    <w:rsid w:val="009D3E5E"/>
    <w:rsid w:val="009D4A35"/>
    <w:rsid w:val="009D6635"/>
    <w:rsid w:val="009E0948"/>
    <w:rsid w:val="009E094B"/>
    <w:rsid w:val="009E107A"/>
    <w:rsid w:val="009E1CE6"/>
    <w:rsid w:val="009E1E01"/>
    <w:rsid w:val="009E3E71"/>
    <w:rsid w:val="009E481F"/>
    <w:rsid w:val="009E578C"/>
    <w:rsid w:val="009F2A88"/>
    <w:rsid w:val="009F2DB6"/>
    <w:rsid w:val="009F3048"/>
    <w:rsid w:val="009F333A"/>
    <w:rsid w:val="009F340D"/>
    <w:rsid w:val="009F4272"/>
    <w:rsid w:val="009F4290"/>
    <w:rsid w:val="009F5B33"/>
    <w:rsid w:val="009F6237"/>
    <w:rsid w:val="009F65C0"/>
    <w:rsid w:val="009F67B6"/>
    <w:rsid w:val="009F7B07"/>
    <w:rsid w:val="00A00D6D"/>
    <w:rsid w:val="00A02E4C"/>
    <w:rsid w:val="00A03246"/>
    <w:rsid w:val="00A03464"/>
    <w:rsid w:val="00A03BD2"/>
    <w:rsid w:val="00A0408A"/>
    <w:rsid w:val="00A0463B"/>
    <w:rsid w:val="00A04C7D"/>
    <w:rsid w:val="00A04DEE"/>
    <w:rsid w:val="00A053BA"/>
    <w:rsid w:val="00A067B3"/>
    <w:rsid w:val="00A074CE"/>
    <w:rsid w:val="00A07582"/>
    <w:rsid w:val="00A07EB9"/>
    <w:rsid w:val="00A10350"/>
    <w:rsid w:val="00A10435"/>
    <w:rsid w:val="00A11BF7"/>
    <w:rsid w:val="00A13A0E"/>
    <w:rsid w:val="00A13C17"/>
    <w:rsid w:val="00A13FE1"/>
    <w:rsid w:val="00A14272"/>
    <w:rsid w:val="00A1642C"/>
    <w:rsid w:val="00A16818"/>
    <w:rsid w:val="00A169E5"/>
    <w:rsid w:val="00A16FF7"/>
    <w:rsid w:val="00A1739F"/>
    <w:rsid w:val="00A1757F"/>
    <w:rsid w:val="00A175EB"/>
    <w:rsid w:val="00A1782F"/>
    <w:rsid w:val="00A20855"/>
    <w:rsid w:val="00A214A0"/>
    <w:rsid w:val="00A216F9"/>
    <w:rsid w:val="00A22073"/>
    <w:rsid w:val="00A227B1"/>
    <w:rsid w:val="00A233D5"/>
    <w:rsid w:val="00A242DB"/>
    <w:rsid w:val="00A24B3A"/>
    <w:rsid w:val="00A24F58"/>
    <w:rsid w:val="00A25BA7"/>
    <w:rsid w:val="00A274B6"/>
    <w:rsid w:val="00A30512"/>
    <w:rsid w:val="00A30870"/>
    <w:rsid w:val="00A31A31"/>
    <w:rsid w:val="00A31B39"/>
    <w:rsid w:val="00A336A8"/>
    <w:rsid w:val="00A33ACC"/>
    <w:rsid w:val="00A33CF2"/>
    <w:rsid w:val="00A34168"/>
    <w:rsid w:val="00A35145"/>
    <w:rsid w:val="00A3548B"/>
    <w:rsid w:val="00A35927"/>
    <w:rsid w:val="00A35C88"/>
    <w:rsid w:val="00A35DCC"/>
    <w:rsid w:val="00A36711"/>
    <w:rsid w:val="00A36A17"/>
    <w:rsid w:val="00A40DFC"/>
    <w:rsid w:val="00A417AD"/>
    <w:rsid w:val="00A41965"/>
    <w:rsid w:val="00A41DEC"/>
    <w:rsid w:val="00A42335"/>
    <w:rsid w:val="00A4253E"/>
    <w:rsid w:val="00A4292E"/>
    <w:rsid w:val="00A4311E"/>
    <w:rsid w:val="00A43C04"/>
    <w:rsid w:val="00A44AD7"/>
    <w:rsid w:val="00A45718"/>
    <w:rsid w:val="00A45BB9"/>
    <w:rsid w:val="00A468D0"/>
    <w:rsid w:val="00A46C5D"/>
    <w:rsid w:val="00A47360"/>
    <w:rsid w:val="00A47903"/>
    <w:rsid w:val="00A5020E"/>
    <w:rsid w:val="00A5066C"/>
    <w:rsid w:val="00A52AB3"/>
    <w:rsid w:val="00A54A31"/>
    <w:rsid w:val="00A55AEB"/>
    <w:rsid w:val="00A57976"/>
    <w:rsid w:val="00A60005"/>
    <w:rsid w:val="00A6050E"/>
    <w:rsid w:val="00A6183D"/>
    <w:rsid w:val="00A61949"/>
    <w:rsid w:val="00A6320B"/>
    <w:rsid w:val="00A63D84"/>
    <w:rsid w:val="00A64603"/>
    <w:rsid w:val="00A64A3B"/>
    <w:rsid w:val="00A65310"/>
    <w:rsid w:val="00A65842"/>
    <w:rsid w:val="00A667AE"/>
    <w:rsid w:val="00A66941"/>
    <w:rsid w:val="00A66BDE"/>
    <w:rsid w:val="00A67A10"/>
    <w:rsid w:val="00A71BA3"/>
    <w:rsid w:val="00A71F64"/>
    <w:rsid w:val="00A72076"/>
    <w:rsid w:val="00A73558"/>
    <w:rsid w:val="00A73783"/>
    <w:rsid w:val="00A74FF6"/>
    <w:rsid w:val="00A753FA"/>
    <w:rsid w:val="00A76B2C"/>
    <w:rsid w:val="00A76F52"/>
    <w:rsid w:val="00A819F4"/>
    <w:rsid w:val="00A81E58"/>
    <w:rsid w:val="00A82103"/>
    <w:rsid w:val="00A82D5F"/>
    <w:rsid w:val="00A82ECC"/>
    <w:rsid w:val="00A83C0D"/>
    <w:rsid w:val="00A83E2D"/>
    <w:rsid w:val="00A84598"/>
    <w:rsid w:val="00A84BC2"/>
    <w:rsid w:val="00A85A35"/>
    <w:rsid w:val="00A8616B"/>
    <w:rsid w:val="00A87695"/>
    <w:rsid w:val="00A87B70"/>
    <w:rsid w:val="00A87B73"/>
    <w:rsid w:val="00A9002D"/>
    <w:rsid w:val="00A900D6"/>
    <w:rsid w:val="00A90BF3"/>
    <w:rsid w:val="00A912CA"/>
    <w:rsid w:val="00A915D3"/>
    <w:rsid w:val="00A91A3C"/>
    <w:rsid w:val="00A93750"/>
    <w:rsid w:val="00A938F9"/>
    <w:rsid w:val="00A95A45"/>
    <w:rsid w:val="00A96515"/>
    <w:rsid w:val="00A96F7D"/>
    <w:rsid w:val="00A9726F"/>
    <w:rsid w:val="00AA013A"/>
    <w:rsid w:val="00AA065A"/>
    <w:rsid w:val="00AA1FD7"/>
    <w:rsid w:val="00AA207E"/>
    <w:rsid w:val="00AA242E"/>
    <w:rsid w:val="00AA265F"/>
    <w:rsid w:val="00AA2AF5"/>
    <w:rsid w:val="00AA2E6E"/>
    <w:rsid w:val="00AA36FF"/>
    <w:rsid w:val="00AA41E8"/>
    <w:rsid w:val="00AA44B7"/>
    <w:rsid w:val="00AA4919"/>
    <w:rsid w:val="00AA4A22"/>
    <w:rsid w:val="00AA4ACA"/>
    <w:rsid w:val="00AA4E22"/>
    <w:rsid w:val="00AA57AF"/>
    <w:rsid w:val="00AA5AFA"/>
    <w:rsid w:val="00AA5BC0"/>
    <w:rsid w:val="00AA6F40"/>
    <w:rsid w:val="00AA71EF"/>
    <w:rsid w:val="00AA7CBD"/>
    <w:rsid w:val="00AA7DC2"/>
    <w:rsid w:val="00AB1613"/>
    <w:rsid w:val="00AB16DA"/>
    <w:rsid w:val="00AB3C94"/>
    <w:rsid w:val="00AB4648"/>
    <w:rsid w:val="00AB489E"/>
    <w:rsid w:val="00AB5643"/>
    <w:rsid w:val="00AB589E"/>
    <w:rsid w:val="00AB5E06"/>
    <w:rsid w:val="00AB5EAA"/>
    <w:rsid w:val="00AB6A69"/>
    <w:rsid w:val="00AC0782"/>
    <w:rsid w:val="00AC208F"/>
    <w:rsid w:val="00AC2F5A"/>
    <w:rsid w:val="00AC44DD"/>
    <w:rsid w:val="00AC451B"/>
    <w:rsid w:val="00AC4CBA"/>
    <w:rsid w:val="00AC641A"/>
    <w:rsid w:val="00AC6692"/>
    <w:rsid w:val="00AC68D9"/>
    <w:rsid w:val="00AC6A56"/>
    <w:rsid w:val="00AC78B6"/>
    <w:rsid w:val="00AD0F81"/>
    <w:rsid w:val="00AD24F5"/>
    <w:rsid w:val="00AD299B"/>
    <w:rsid w:val="00AD2B44"/>
    <w:rsid w:val="00AD2C60"/>
    <w:rsid w:val="00AD2DFD"/>
    <w:rsid w:val="00AD35A2"/>
    <w:rsid w:val="00AD3DB1"/>
    <w:rsid w:val="00AD4712"/>
    <w:rsid w:val="00AD5A8D"/>
    <w:rsid w:val="00AD617B"/>
    <w:rsid w:val="00AD6B7B"/>
    <w:rsid w:val="00AD6E31"/>
    <w:rsid w:val="00AD7221"/>
    <w:rsid w:val="00AD768E"/>
    <w:rsid w:val="00AD7751"/>
    <w:rsid w:val="00AD7804"/>
    <w:rsid w:val="00AD7C99"/>
    <w:rsid w:val="00AE0F45"/>
    <w:rsid w:val="00AE13B5"/>
    <w:rsid w:val="00AE1DDD"/>
    <w:rsid w:val="00AE1DE0"/>
    <w:rsid w:val="00AE22F3"/>
    <w:rsid w:val="00AE26E7"/>
    <w:rsid w:val="00AE2764"/>
    <w:rsid w:val="00AE2F3D"/>
    <w:rsid w:val="00AE2FC8"/>
    <w:rsid w:val="00AE3ED6"/>
    <w:rsid w:val="00AE3EED"/>
    <w:rsid w:val="00AE42E4"/>
    <w:rsid w:val="00AE5D80"/>
    <w:rsid w:val="00AE6831"/>
    <w:rsid w:val="00AE6D69"/>
    <w:rsid w:val="00AE71AF"/>
    <w:rsid w:val="00AE7222"/>
    <w:rsid w:val="00AF0451"/>
    <w:rsid w:val="00AF0F71"/>
    <w:rsid w:val="00AF10DB"/>
    <w:rsid w:val="00AF1951"/>
    <w:rsid w:val="00AF2AB0"/>
    <w:rsid w:val="00AF3CF4"/>
    <w:rsid w:val="00AF4857"/>
    <w:rsid w:val="00AF49B9"/>
    <w:rsid w:val="00AF54A8"/>
    <w:rsid w:val="00AF561F"/>
    <w:rsid w:val="00AF5682"/>
    <w:rsid w:val="00AF56D7"/>
    <w:rsid w:val="00AF6911"/>
    <w:rsid w:val="00AF6B3E"/>
    <w:rsid w:val="00AF7718"/>
    <w:rsid w:val="00B0028E"/>
    <w:rsid w:val="00B006CF"/>
    <w:rsid w:val="00B00D2C"/>
    <w:rsid w:val="00B01310"/>
    <w:rsid w:val="00B0153E"/>
    <w:rsid w:val="00B016F2"/>
    <w:rsid w:val="00B01F7B"/>
    <w:rsid w:val="00B0337C"/>
    <w:rsid w:val="00B047A7"/>
    <w:rsid w:val="00B04926"/>
    <w:rsid w:val="00B04A19"/>
    <w:rsid w:val="00B052A0"/>
    <w:rsid w:val="00B05BD4"/>
    <w:rsid w:val="00B0633E"/>
    <w:rsid w:val="00B065C5"/>
    <w:rsid w:val="00B06B21"/>
    <w:rsid w:val="00B070B0"/>
    <w:rsid w:val="00B10D20"/>
    <w:rsid w:val="00B10E57"/>
    <w:rsid w:val="00B111C3"/>
    <w:rsid w:val="00B120A8"/>
    <w:rsid w:val="00B14ABF"/>
    <w:rsid w:val="00B14DEB"/>
    <w:rsid w:val="00B15C48"/>
    <w:rsid w:val="00B1720F"/>
    <w:rsid w:val="00B173E6"/>
    <w:rsid w:val="00B205AE"/>
    <w:rsid w:val="00B21660"/>
    <w:rsid w:val="00B23F38"/>
    <w:rsid w:val="00B2407B"/>
    <w:rsid w:val="00B24187"/>
    <w:rsid w:val="00B25910"/>
    <w:rsid w:val="00B25DE5"/>
    <w:rsid w:val="00B261DF"/>
    <w:rsid w:val="00B272F9"/>
    <w:rsid w:val="00B31E3C"/>
    <w:rsid w:val="00B326FA"/>
    <w:rsid w:val="00B329C2"/>
    <w:rsid w:val="00B32C1A"/>
    <w:rsid w:val="00B3357D"/>
    <w:rsid w:val="00B341D8"/>
    <w:rsid w:val="00B34309"/>
    <w:rsid w:val="00B35244"/>
    <w:rsid w:val="00B35751"/>
    <w:rsid w:val="00B35A2A"/>
    <w:rsid w:val="00B35C2D"/>
    <w:rsid w:val="00B36E49"/>
    <w:rsid w:val="00B40B73"/>
    <w:rsid w:val="00B414AC"/>
    <w:rsid w:val="00B416BB"/>
    <w:rsid w:val="00B421C8"/>
    <w:rsid w:val="00B422D6"/>
    <w:rsid w:val="00B4402F"/>
    <w:rsid w:val="00B45828"/>
    <w:rsid w:val="00B45F03"/>
    <w:rsid w:val="00B46BA6"/>
    <w:rsid w:val="00B4715C"/>
    <w:rsid w:val="00B471E5"/>
    <w:rsid w:val="00B475A0"/>
    <w:rsid w:val="00B47749"/>
    <w:rsid w:val="00B50076"/>
    <w:rsid w:val="00B501D1"/>
    <w:rsid w:val="00B508F0"/>
    <w:rsid w:val="00B51026"/>
    <w:rsid w:val="00B510E0"/>
    <w:rsid w:val="00B5216C"/>
    <w:rsid w:val="00B522C8"/>
    <w:rsid w:val="00B525D7"/>
    <w:rsid w:val="00B52951"/>
    <w:rsid w:val="00B53107"/>
    <w:rsid w:val="00B53C09"/>
    <w:rsid w:val="00B5581F"/>
    <w:rsid w:val="00B558EA"/>
    <w:rsid w:val="00B55C78"/>
    <w:rsid w:val="00B56A0C"/>
    <w:rsid w:val="00B56DA6"/>
    <w:rsid w:val="00B56DAC"/>
    <w:rsid w:val="00B57175"/>
    <w:rsid w:val="00B573E1"/>
    <w:rsid w:val="00B6235F"/>
    <w:rsid w:val="00B63342"/>
    <w:rsid w:val="00B6390C"/>
    <w:rsid w:val="00B63E79"/>
    <w:rsid w:val="00B64C92"/>
    <w:rsid w:val="00B64F4E"/>
    <w:rsid w:val="00B64F96"/>
    <w:rsid w:val="00B6642D"/>
    <w:rsid w:val="00B6650D"/>
    <w:rsid w:val="00B66E1F"/>
    <w:rsid w:val="00B670BE"/>
    <w:rsid w:val="00B67B79"/>
    <w:rsid w:val="00B70063"/>
    <w:rsid w:val="00B715FD"/>
    <w:rsid w:val="00B72152"/>
    <w:rsid w:val="00B72FFC"/>
    <w:rsid w:val="00B7364F"/>
    <w:rsid w:val="00B745D3"/>
    <w:rsid w:val="00B74A55"/>
    <w:rsid w:val="00B75A23"/>
    <w:rsid w:val="00B764B0"/>
    <w:rsid w:val="00B80410"/>
    <w:rsid w:val="00B80603"/>
    <w:rsid w:val="00B80CE8"/>
    <w:rsid w:val="00B810A0"/>
    <w:rsid w:val="00B825E7"/>
    <w:rsid w:val="00B85656"/>
    <w:rsid w:val="00B85D42"/>
    <w:rsid w:val="00B8684F"/>
    <w:rsid w:val="00B86CC6"/>
    <w:rsid w:val="00B87910"/>
    <w:rsid w:val="00B9037D"/>
    <w:rsid w:val="00B90A09"/>
    <w:rsid w:val="00B90F8D"/>
    <w:rsid w:val="00B91068"/>
    <w:rsid w:val="00B9157B"/>
    <w:rsid w:val="00B917D7"/>
    <w:rsid w:val="00B91BA0"/>
    <w:rsid w:val="00B963D4"/>
    <w:rsid w:val="00B96EB5"/>
    <w:rsid w:val="00BA0010"/>
    <w:rsid w:val="00BA0558"/>
    <w:rsid w:val="00BA2252"/>
    <w:rsid w:val="00BA27F9"/>
    <w:rsid w:val="00BA2A55"/>
    <w:rsid w:val="00BA2B97"/>
    <w:rsid w:val="00BA2BD9"/>
    <w:rsid w:val="00BA3C23"/>
    <w:rsid w:val="00BA4A66"/>
    <w:rsid w:val="00BA5032"/>
    <w:rsid w:val="00BA5500"/>
    <w:rsid w:val="00BA573C"/>
    <w:rsid w:val="00BA59CC"/>
    <w:rsid w:val="00BA6585"/>
    <w:rsid w:val="00BA6916"/>
    <w:rsid w:val="00BA718A"/>
    <w:rsid w:val="00BA7A89"/>
    <w:rsid w:val="00BA7C75"/>
    <w:rsid w:val="00BA7DD6"/>
    <w:rsid w:val="00BB0A39"/>
    <w:rsid w:val="00BB1A24"/>
    <w:rsid w:val="00BB1DC2"/>
    <w:rsid w:val="00BB25B1"/>
    <w:rsid w:val="00BB2D59"/>
    <w:rsid w:val="00BB314F"/>
    <w:rsid w:val="00BB3702"/>
    <w:rsid w:val="00BB3EC7"/>
    <w:rsid w:val="00BB4364"/>
    <w:rsid w:val="00BB4DC1"/>
    <w:rsid w:val="00BB7A62"/>
    <w:rsid w:val="00BC068D"/>
    <w:rsid w:val="00BC07A9"/>
    <w:rsid w:val="00BC08D6"/>
    <w:rsid w:val="00BC0B9F"/>
    <w:rsid w:val="00BC0E56"/>
    <w:rsid w:val="00BC16A8"/>
    <w:rsid w:val="00BC18E1"/>
    <w:rsid w:val="00BC33AC"/>
    <w:rsid w:val="00BC4C1F"/>
    <w:rsid w:val="00BC5EDA"/>
    <w:rsid w:val="00BC5FAC"/>
    <w:rsid w:val="00BC6C8B"/>
    <w:rsid w:val="00BC74E7"/>
    <w:rsid w:val="00BD2650"/>
    <w:rsid w:val="00BD2754"/>
    <w:rsid w:val="00BD2771"/>
    <w:rsid w:val="00BD27BD"/>
    <w:rsid w:val="00BD280E"/>
    <w:rsid w:val="00BD58C6"/>
    <w:rsid w:val="00BD5CD7"/>
    <w:rsid w:val="00BD61FB"/>
    <w:rsid w:val="00BD62C4"/>
    <w:rsid w:val="00BD69F2"/>
    <w:rsid w:val="00BD72F7"/>
    <w:rsid w:val="00BD753A"/>
    <w:rsid w:val="00BE0520"/>
    <w:rsid w:val="00BE0610"/>
    <w:rsid w:val="00BE0AB1"/>
    <w:rsid w:val="00BE0C39"/>
    <w:rsid w:val="00BE115F"/>
    <w:rsid w:val="00BE168A"/>
    <w:rsid w:val="00BE19A6"/>
    <w:rsid w:val="00BE1E4B"/>
    <w:rsid w:val="00BE1F8C"/>
    <w:rsid w:val="00BE241E"/>
    <w:rsid w:val="00BE37C1"/>
    <w:rsid w:val="00BE4204"/>
    <w:rsid w:val="00BE447E"/>
    <w:rsid w:val="00BE5B3C"/>
    <w:rsid w:val="00BE5E7D"/>
    <w:rsid w:val="00BE7D39"/>
    <w:rsid w:val="00BF00DC"/>
    <w:rsid w:val="00BF05C4"/>
    <w:rsid w:val="00BF0BDF"/>
    <w:rsid w:val="00BF0D70"/>
    <w:rsid w:val="00BF22E8"/>
    <w:rsid w:val="00BF4759"/>
    <w:rsid w:val="00BF5551"/>
    <w:rsid w:val="00BF587E"/>
    <w:rsid w:val="00BF5A15"/>
    <w:rsid w:val="00BF5A1E"/>
    <w:rsid w:val="00BF6B14"/>
    <w:rsid w:val="00BF6E79"/>
    <w:rsid w:val="00BF71B6"/>
    <w:rsid w:val="00C00404"/>
    <w:rsid w:val="00C02454"/>
    <w:rsid w:val="00C02691"/>
    <w:rsid w:val="00C0299D"/>
    <w:rsid w:val="00C03AB6"/>
    <w:rsid w:val="00C042AB"/>
    <w:rsid w:val="00C049BF"/>
    <w:rsid w:val="00C0541E"/>
    <w:rsid w:val="00C055F3"/>
    <w:rsid w:val="00C066EF"/>
    <w:rsid w:val="00C068F8"/>
    <w:rsid w:val="00C06AC7"/>
    <w:rsid w:val="00C07931"/>
    <w:rsid w:val="00C07F3A"/>
    <w:rsid w:val="00C105E3"/>
    <w:rsid w:val="00C1078D"/>
    <w:rsid w:val="00C109FA"/>
    <w:rsid w:val="00C11AC0"/>
    <w:rsid w:val="00C12100"/>
    <w:rsid w:val="00C127DD"/>
    <w:rsid w:val="00C13255"/>
    <w:rsid w:val="00C13621"/>
    <w:rsid w:val="00C13B3C"/>
    <w:rsid w:val="00C140CE"/>
    <w:rsid w:val="00C155D8"/>
    <w:rsid w:val="00C15612"/>
    <w:rsid w:val="00C1599F"/>
    <w:rsid w:val="00C15C00"/>
    <w:rsid w:val="00C15CD2"/>
    <w:rsid w:val="00C166A2"/>
    <w:rsid w:val="00C173B9"/>
    <w:rsid w:val="00C2176F"/>
    <w:rsid w:val="00C21955"/>
    <w:rsid w:val="00C236CB"/>
    <w:rsid w:val="00C23705"/>
    <w:rsid w:val="00C24279"/>
    <w:rsid w:val="00C243C8"/>
    <w:rsid w:val="00C24440"/>
    <w:rsid w:val="00C2446D"/>
    <w:rsid w:val="00C24AB3"/>
    <w:rsid w:val="00C24B1E"/>
    <w:rsid w:val="00C25C13"/>
    <w:rsid w:val="00C26821"/>
    <w:rsid w:val="00C268CF"/>
    <w:rsid w:val="00C26A47"/>
    <w:rsid w:val="00C26E75"/>
    <w:rsid w:val="00C30B46"/>
    <w:rsid w:val="00C30C47"/>
    <w:rsid w:val="00C31563"/>
    <w:rsid w:val="00C315BE"/>
    <w:rsid w:val="00C3186E"/>
    <w:rsid w:val="00C31C47"/>
    <w:rsid w:val="00C31E7B"/>
    <w:rsid w:val="00C323CA"/>
    <w:rsid w:val="00C32676"/>
    <w:rsid w:val="00C32740"/>
    <w:rsid w:val="00C338F1"/>
    <w:rsid w:val="00C33F42"/>
    <w:rsid w:val="00C33F97"/>
    <w:rsid w:val="00C342C9"/>
    <w:rsid w:val="00C349BE"/>
    <w:rsid w:val="00C34A6F"/>
    <w:rsid w:val="00C351DE"/>
    <w:rsid w:val="00C352A8"/>
    <w:rsid w:val="00C36039"/>
    <w:rsid w:val="00C37626"/>
    <w:rsid w:val="00C37800"/>
    <w:rsid w:val="00C40455"/>
    <w:rsid w:val="00C41C70"/>
    <w:rsid w:val="00C432F8"/>
    <w:rsid w:val="00C43E57"/>
    <w:rsid w:val="00C44182"/>
    <w:rsid w:val="00C44A45"/>
    <w:rsid w:val="00C4782E"/>
    <w:rsid w:val="00C508F7"/>
    <w:rsid w:val="00C5187D"/>
    <w:rsid w:val="00C51F02"/>
    <w:rsid w:val="00C524EA"/>
    <w:rsid w:val="00C52726"/>
    <w:rsid w:val="00C5276E"/>
    <w:rsid w:val="00C52AEB"/>
    <w:rsid w:val="00C5338E"/>
    <w:rsid w:val="00C53730"/>
    <w:rsid w:val="00C5399C"/>
    <w:rsid w:val="00C5422D"/>
    <w:rsid w:val="00C54EF5"/>
    <w:rsid w:val="00C54F45"/>
    <w:rsid w:val="00C5568D"/>
    <w:rsid w:val="00C55C26"/>
    <w:rsid w:val="00C55D54"/>
    <w:rsid w:val="00C563B6"/>
    <w:rsid w:val="00C564E0"/>
    <w:rsid w:val="00C5752C"/>
    <w:rsid w:val="00C576AA"/>
    <w:rsid w:val="00C576F6"/>
    <w:rsid w:val="00C57A48"/>
    <w:rsid w:val="00C60477"/>
    <w:rsid w:val="00C607A6"/>
    <w:rsid w:val="00C60FF7"/>
    <w:rsid w:val="00C6179F"/>
    <w:rsid w:val="00C626FB"/>
    <w:rsid w:val="00C62C41"/>
    <w:rsid w:val="00C63873"/>
    <w:rsid w:val="00C63FC8"/>
    <w:rsid w:val="00C653C5"/>
    <w:rsid w:val="00C65F5A"/>
    <w:rsid w:val="00C67DEB"/>
    <w:rsid w:val="00C67DEC"/>
    <w:rsid w:val="00C70446"/>
    <w:rsid w:val="00C7044D"/>
    <w:rsid w:val="00C70973"/>
    <w:rsid w:val="00C71AAA"/>
    <w:rsid w:val="00C71D1A"/>
    <w:rsid w:val="00C7237F"/>
    <w:rsid w:val="00C726A8"/>
    <w:rsid w:val="00C72825"/>
    <w:rsid w:val="00C7324C"/>
    <w:rsid w:val="00C737EA"/>
    <w:rsid w:val="00C7411F"/>
    <w:rsid w:val="00C80B22"/>
    <w:rsid w:val="00C80F42"/>
    <w:rsid w:val="00C8360F"/>
    <w:rsid w:val="00C8471C"/>
    <w:rsid w:val="00C8492D"/>
    <w:rsid w:val="00C85BBC"/>
    <w:rsid w:val="00C85C4D"/>
    <w:rsid w:val="00C85E47"/>
    <w:rsid w:val="00C86D24"/>
    <w:rsid w:val="00C86DFE"/>
    <w:rsid w:val="00C906DB"/>
    <w:rsid w:val="00C90762"/>
    <w:rsid w:val="00C90B5E"/>
    <w:rsid w:val="00C90C77"/>
    <w:rsid w:val="00C90E5B"/>
    <w:rsid w:val="00C90E74"/>
    <w:rsid w:val="00C91590"/>
    <w:rsid w:val="00C915E8"/>
    <w:rsid w:val="00C9200E"/>
    <w:rsid w:val="00C92FC2"/>
    <w:rsid w:val="00C9351A"/>
    <w:rsid w:val="00C93CDC"/>
    <w:rsid w:val="00C94AA8"/>
    <w:rsid w:val="00C94D97"/>
    <w:rsid w:val="00C94E25"/>
    <w:rsid w:val="00C955B2"/>
    <w:rsid w:val="00C95E10"/>
    <w:rsid w:val="00C96B32"/>
    <w:rsid w:val="00C97363"/>
    <w:rsid w:val="00CA1C19"/>
    <w:rsid w:val="00CA3491"/>
    <w:rsid w:val="00CA3740"/>
    <w:rsid w:val="00CA39A6"/>
    <w:rsid w:val="00CA3BC2"/>
    <w:rsid w:val="00CA472D"/>
    <w:rsid w:val="00CA4AB6"/>
    <w:rsid w:val="00CA54DF"/>
    <w:rsid w:val="00CA56DD"/>
    <w:rsid w:val="00CA57BB"/>
    <w:rsid w:val="00CA6336"/>
    <w:rsid w:val="00CA659E"/>
    <w:rsid w:val="00CA667F"/>
    <w:rsid w:val="00CB099B"/>
    <w:rsid w:val="00CB0F18"/>
    <w:rsid w:val="00CB1067"/>
    <w:rsid w:val="00CB48F1"/>
    <w:rsid w:val="00CB62B4"/>
    <w:rsid w:val="00CB7426"/>
    <w:rsid w:val="00CB756C"/>
    <w:rsid w:val="00CB7C2D"/>
    <w:rsid w:val="00CB7FE5"/>
    <w:rsid w:val="00CC0577"/>
    <w:rsid w:val="00CC0C00"/>
    <w:rsid w:val="00CC1CFB"/>
    <w:rsid w:val="00CC2787"/>
    <w:rsid w:val="00CC2B06"/>
    <w:rsid w:val="00CC341B"/>
    <w:rsid w:val="00CC3BC0"/>
    <w:rsid w:val="00CC3FB5"/>
    <w:rsid w:val="00CC44D3"/>
    <w:rsid w:val="00CC46E6"/>
    <w:rsid w:val="00CC47AB"/>
    <w:rsid w:val="00CC51AC"/>
    <w:rsid w:val="00CC57C9"/>
    <w:rsid w:val="00CC7708"/>
    <w:rsid w:val="00CC7777"/>
    <w:rsid w:val="00CD095F"/>
    <w:rsid w:val="00CD10F8"/>
    <w:rsid w:val="00CD1407"/>
    <w:rsid w:val="00CD1C01"/>
    <w:rsid w:val="00CD1C50"/>
    <w:rsid w:val="00CD1D22"/>
    <w:rsid w:val="00CD1D60"/>
    <w:rsid w:val="00CD27DC"/>
    <w:rsid w:val="00CD2E5C"/>
    <w:rsid w:val="00CD4C15"/>
    <w:rsid w:val="00CD5144"/>
    <w:rsid w:val="00CD5DE4"/>
    <w:rsid w:val="00CD6306"/>
    <w:rsid w:val="00CD7B37"/>
    <w:rsid w:val="00CD7FBE"/>
    <w:rsid w:val="00CE022A"/>
    <w:rsid w:val="00CE07BE"/>
    <w:rsid w:val="00CE0A79"/>
    <w:rsid w:val="00CE0C2B"/>
    <w:rsid w:val="00CE0FC6"/>
    <w:rsid w:val="00CE1113"/>
    <w:rsid w:val="00CE205A"/>
    <w:rsid w:val="00CE22FA"/>
    <w:rsid w:val="00CE3952"/>
    <w:rsid w:val="00CE3A7D"/>
    <w:rsid w:val="00CE3FFE"/>
    <w:rsid w:val="00CE44C3"/>
    <w:rsid w:val="00CE50EF"/>
    <w:rsid w:val="00CE5B60"/>
    <w:rsid w:val="00CE70BC"/>
    <w:rsid w:val="00CE7684"/>
    <w:rsid w:val="00CF4032"/>
    <w:rsid w:val="00CF5D35"/>
    <w:rsid w:val="00CF6A50"/>
    <w:rsid w:val="00CF75F5"/>
    <w:rsid w:val="00CF7EB2"/>
    <w:rsid w:val="00D00FC7"/>
    <w:rsid w:val="00D011D5"/>
    <w:rsid w:val="00D011E9"/>
    <w:rsid w:val="00D01708"/>
    <w:rsid w:val="00D02C14"/>
    <w:rsid w:val="00D03A04"/>
    <w:rsid w:val="00D03E8A"/>
    <w:rsid w:val="00D05B7F"/>
    <w:rsid w:val="00D05F96"/>
    <w:rsid w:val="00D064CF"/>
    <w:rsid w:val="00D064EB"/>
    <w:rsid w:val="00D06778"/>
    <w:rsid w:val="00D06A6B"/>
    <w:rsid w:val="00D102B1"/>
    <w:rsid w:val="00D10633"/>
    <w:rsid w:val="00D10773"/>
    <w:rsid w:val="00D10CF4"/>
    <w:rsid w:val="00D11393"/>
    <w:rsid w:val="00D12710"/>
    <w:rsid w:val="00D13E15"/>
    <w:rsid w:val="00D147EE"/>
    <w:rsid w:val="00D154E4"/>
    <w:rsid w:val="00D16967"/>
    <w:rsid w:val="00D17086"/>
    <w:rsid w:val="00D172A0"/>
    <w:rsid w:val="00D2028A"/>
    <w:rsid w:val="00D2195B"/>
    <w:rsid w:val="00D231DD"/>
    <w:rsid w:val="00D23EDB"/>
    <w:rsid w:val="00D243F7"/>
    <w:rsid w:val="00D24855"/>
    <w:rsid w:val="00D26ECC"/>
    <w:rsid w:val="00D27629"/>
    <w:rsid w:val="00D3074B"/>
    <w:rsid w:val="00D31394"/>
    <w:rsid w:val="00D31F65"/>
    <w:rsid w:val="00D32086"/>
    <w:rsid w:val="00D32175"/>
    <w:rsid w:val="00D32339"/>
    <w:rsid w:val="00D326B0"/>
    <w:rsid w:val="00D32B13"/>
    <w:rsid w:val="00D32C77"/>
    <w:rsid w:val="00D32EB5"/>
    <w:rsid w:val="00D33BA5"/>
    <w:rsid w:val="00D33D82"/>
    <w:rsid w:val="00D35023"/>
    <w:rsid w:val="00D356B8"/>
    <w:rsid w:val="00D35DED"/>
    <w:rsid w:val="00D378BB"/>
    <w:rsid w:val="00D406B4"/>
    <w:rsid w:val="00D40A9A"/>
    <w:rsid w:val="00D41422"/>
    <w:rsid w:val="00D41542"/>
    <w:rsid w:val="00D416CA"/>
    <w:rsid w:val="00D4177B"/>
    <w:rsid w:val="00D423FE"/>
    <w:rsid w:val="00D42511"/>
    <w:rsid w:val="00D4326C"/>
    <w:rsid w:val="00D433D0"/>
    <w:rsid w:val="00D44858"/>
    <w:rsid w:val="00D44F65"/>
    <w:rsid w:val="00D4764C"/>
    <w:rsid w:val="00D4779C"/>
    <w:rsid w:val="00D51A05"/>
    <w:rsid w:val="00D51DDE"/>
    <w:rsid w:val="00D52592"/>
    <w:rsid w:val="00D52793"/>
    <w:rsid w:val="00D53135"/>
    <w:rsid w:val="00D53407"/>
    <w:rsid w:val="00D534CE"/>
    <w:rsid w:val="00D53E2F"/>
    <w:rsid w:val="00D54266"/>
    <w:rsid w:val="00D54DEE"/>
    <w:rsid w:val="00D55D2B"/>
    <w:rsid w:val="00D55F28"/>
    <w:rsid w:val="00D56480"/>
    <w:rsid w:val="00D56BC6"/>
    <w:rsid w:val="00D56DBE"/>
    <w:rsid w:val="00D576D9"/>
    <w:rsid w:val="00D57B18"/>
    <w:rsid w:val="00D6041A"/>
    <w:rsid w:val="00D605D9"/>
    <w:rsid w:val="00D6269B"/>
    <w:rsid w:val="00D62AF5"/>
    <w:rsid w:val="00D6477A"/>
    <w:rsid w:val="00D64A6A"/>
    <w:rsid w:val="00D663FE"/>
    <w:rsid w:val="00D67002"/>
    <w:rsid w:val="00D672F5"/>
    <w:rsid w:val="00D72D10"/>
    <w:rsid w:val="00D7327D"/>
    <w:rsid w:val="00D73A43"/>
    <w:rsid w:val="00D73C1C"/>
    <w:rsid w:val="00D74943"/>
    <w:rsid w:val="00D7557B"/>
    <w:rsid w:val="00D76140"/>
    <w:rsid w:val="00D76249"/>
    <w:rsid w:val="00D765D5"/>
    <w:rsid w:val="00D775FA"/>
    <w:rsid w:val="00D80146"/>
    <w:rsid w:val="00D803D0"/>
    <w:rsid w:val="00D81651"/>
    <w:rsid w:val="00D82489"/>
    <w:rsid w:val="00D83953"/>
    <w:rsid w:val="00D862DA"/>
    <w:rsid w:val="00D8658C"/>
    <w:rsid w:val="00D868A8"/>
    <w:rsid w:val="00D86D27"/>
    <w:rsid w:val="00D86F72"/>
    <w:rsid w:val="00D87247"/>
    <w:rsid w:val="00D91086"/>
    <w:rsid w:val="00D919EB"/>
    <w:rsid w:val="00D91DD9"/>
    <w:rsid w:val="00D92405"/>
    <w:rsid w:val="00D92A67"/>
    <w:rsid w:val="00D9316C"/>
    <w:rsid w:val="00D934A9"/>
    <w:rsid w:val="00D9465F"/>
    <w:rsid w:val="00D9503A"/>
    <w:rsid w:val="00D953F4"/>
    <w:rsid w:val="00D96681"/>
    <w:rsid w:val="00D967C5"/>
    <w:rsid w:val="00D97019"/>
    <w:rsid w:val="00D975AD"/>
    <w:rsid w:val="00D9774E"/>
    <w:rsid w:val="00D97855"/>
    <w:rsid w:val="00D97A52"/>
    <w:rsid w:val="00D97B7A"/>
    <w:rsid w:val="00DA1861"/>
    <w:rsid w:val="00DA2200"/>
    <w:rsid w:val="00DA267B"/>
    <w:rsid w:val="00DA316B"/>
    <w:rsid w:val="00DA31B3"/>
    <w:rsid w:val="00DA4DD9"/>
    <w:rsid w:val="00DA52CA"/>
    <w:rsid w:val="00DA757E"/>
    <w:rsid w:val="00DA7D3E"/>
    <w:rsid w:val="00DB03C1"/>
    <w:rsid w:val="00DB19AF"/>
    <w:rsid w:val="00DB29F6"/>
    <w:rsid w:val="00DB39DF"/>
    <w:rsid w:val="00DB44B6"/>
    <w:rsid w:val="00DB4A8E"/>
    <w:rsid w:val="00DB4BB9"/>
    <w:rsid w:val="00DB6599"/>
    <w:rsid w:val="00DB699F"/>
    <w:rsid w:val="00DB6E9A"/>
    <w:rsid w:val="00DB70CD"/>
    <w:rsid w:val="00DB72EC"/>
    <w:rsid w:val="00DB74B6"/>
    <w:rsid w:val="00DC0D5D"/>
    <w:rsid w:val="00DC0D9F"/>
    <w:rsid w:val="00DC1B17"/>
    <w:rsid w:val="00DC2965"/>
    <w:rsid w:val="00DC4639"/>
    <w:rsid w:val="00DC4F16"/>
    <w:rsid w:val="00DC59A9"/>
    <w:rsid w:val="00DC5FC2"/>
    <w:rsid w:val="00DC60E1"/>
    <w:rsid w:val="00DC625A"/>
    <w:rsid w:val="00DC68B6"/>
    <w:rsid w:val="00DC6C34"/>
    <w:rsid w:val="00DC6CA1"/>
    <w:rsid w:val="00DC747D"/>
    <w:rsid w:val="00DC795B"/>
    <w:rsid w:val="00DD0269"/>
    <w:rsid w:val="00DD030B"/>
    <w:rsid w:val="00DD0B22"/>
    <w:rsid w:val="00DD135D"/>
    <w:rsid w:val="00DD159C"/>
    <w:rsid w:val="00DD1E96"/>
    <w:rsid w:val="00DD2626"/>
    <w:rsid w:val="00DD354E"/>
    <w:rsid w:val="00DD3A19"/>
    <w:rsid w:val="00DD523B"/>
    <w:rsid w:val="00DD5B63"/>
    <w:rsid w:val="00DD7DE9"/>
    <w:rsid w:val="00DE1E7B"/>
    <w:rsid w:val="00DE1F4E"/>
    <w:rsid w:val="00DE248A"/>
    <w:rsid w:val="00DE2D22"/>
    <w:rsid w:val="00DE3572"/>
    <w:rsid w:val="00DE3FB7"/>
    <w:rsid w:val="00DE41C7"/>
    <w:rsid w:val="00DE42B4"/>
    <w:rsid w:val="00DE4329"/>
    <w:rsid w:val="00DE4410"/>
    <w:rsid w:val="00DE5EB1"/>
    <w:rsid w:val="00DE6ADC"/>
    <w:rsid w:val="00DF0380"/>
    <w:rsid w:val="00DF04BB"/>
    <w:rsid w:val="00DF084E"/>
    <w:rsid w:val="00DF0E2C"/>
    <w:rsid w:val="00DF12BF"/>
    <w:rsid w:val="00DF25D9"/>
    <w:rsid w:val="00DF2F5A"/>
    <w:rsid w:val="00DF4391"/>
    <w:rsid w:val="00DF53A4"/>
    <w:rsid w:val="00DF5E01"/>
    <w:rsid w:val="00DF5F96"/>
    <w:rsid w:val="00DF63F8"/>
    <w:rsid w:val="00E0070C"/>
    <w:rsid w:val="00E01503"/>
    <w:rsid w:val="00E02C9D"/>
    <w:rsid w:val="00E048D8"/>
    <w:rsid w:val="00E04A4B"/>
    <w:rsid w:val="00E04ABC"/>
    <w:rsid w:val="00E07A40"/>
    <w:rsid w:val="00E10683"/>
    <w:rsid w:val="00E10BC9"/>
    <w:rsid w:val="00E10C64"/>
    <w:rsid w:val="00E10CD8"/>
    <w:rsid w:val="00E10EEA"/>
    <w:rsid w:val="00E1101D"/>
    <w:rsid w:val="00E11C04"/>
    <w:rsid w:val="00E11CEF"/>
    <w:rsid w:val="00E121AA"/>
    <w:rsid w:val="00E123CF"/>
    <w:rsid w:val="00E12401"/>
    <w:rsid w:val="00E1246E"/>
    <w:rsid w:val="00E12604"/>
    <w:rsid w:val="00E127DB"/>
    <w:rsid w:val="00E128C8"/>
    <w:rsid w:val="00E130B2"/>
    <w:rsid w:val="00E1376D"/>
    <w:rsid w:val="00E13CD1"/>
    <w:rsid w:val="00E151EB"/>
    <w:rsid w:val="00E154EA"/>
    <w:rsid w:val="00E160F0"/>
    <w:rsid w:val="00E165B8"/>
    <w:rsid w:val="00E16AE3"/>
    <w:rsid w:val="00E16F28"/>
    <w:rsid w:val="00E1725E"/>
    <w:rsid w:val="00E173FE"/>
    <w:rsid w:val="00E20105"/>
    <w:rsid w:val="00E207BA"/>
    <w:rsid w:val="00E20A5E"/>
    <w:rsid w:val="00E20CA7"/>
    <w:rsid w:val="00E20F24"/>
    <w:rsid w:val="00E2155D"/>
    <w:rsid w:val="00E22214"/>
    <w:rsid w:val="00E22884"/>
    <w:rsid w:val="00E232BD"/>
    <w:rsid w:val="00E23449"/>
    <w:rsid w:val="00E23CFB"/>
    <w:rsid w:val="00E23FBD"/>
    <w:rsid w:val="00E24476"/>
    <w:rsid w:val="00E24A12"/>
    <w:rsid w:val="00E24CCA"/>
    <w:rsid w:val="00E251F3"/>
    <w:rsid w:val="00E268DD"/>
    <w:rsid w:val="00E2768B"/>
    <w:rsid w:val="00E27EBF"/>
    <w:rsid w:val="00E305DD"/>
    <w:rsid w:val="00E30640"/>
    <w:rsid w:val="00E31030"/>
    <w:rsid w:val="00E319DA"/>
    <w:rsid w:val="00E3208F"/>
    <w:rsid w:val="00E32B54"/>
    <w:rsid w:val="00E32B6C"/>
    <w:rsid w:val="00E32C3B"/>
    <w:rsid w:val="00E3393C"/>
    <w:rsid w:val="00E34820"/>
    <w:rsid w:val="00E34BFD"/>
    <w:rsid w:val="00E35BF8"/>
    <w:rsid w:val="00E35DDB"/>
    <w:rsid w:val="00E365D9"/>
    <w:rsid w:val="00E40E1F"/>
    <w:rsid w:val="00E41D0B"/>
    <w:rsid w:val="00E4201C"/>
    <w:rsid w:val="00E4277D"/>
    <w:rsid w:val="00E42BF1"/>
    <w:rsid w:val="00E4359E"/>
    <w:rsid w:val="00E4395A"/>
    <w:rsid w:val="00E43E78"/>
    <w:rsid w:val="00E44FE0"/>
    <w:rsid w:val="00E45A4B"/>
    <w:rsid w:val="00E46A59"/>
    <w:rsid w:val="00E471C6"/>
    <w:rsid w:val="00E47D2C"/>
    <w:rsid w:val="00E500A4"/>
    <w:rsid w:val="00E50851"/>
    <w:rsid w:val="00E50A73"/>
    <w:rsid w:val="00E511D9"/>
    <w:rsid w:val="00E51F65"/>
    <w:rsid w:val="00E527A2"/>
    <w:rsid w:val="00E52C73"/>
    <w:rsid w:val="00E53255"/>
    <w:rsid w:val="00E53C12"/>
    <w:rsid w:val="00E54004"/>
    <w:rsid w:val="00E54433"/>
    <w:rsid w:val="00E55CE0"/>
    <w:rsid w:val="00E55F43"/>
    <w:rsid w:val="00E5638A"/>
    <w:rsid w:val="00E56963"/>
    <w:rsid w:val="00E57076"/>
    <w:rsid w:val="00E572EC"/>
    <w:rsid w:val="00E57720"/>
    <w:rsid w:val="00E57FC4"/>
    <w:rsid w:val="00E6034F"/>
    <w:rsid w:val="00E61219"/>
    <w:rsid w:val="00E61938"/>
    <w:rsid w:val="00E63503"/>
    <w:rsid w:val="00E638C1"/>
    <w:rsid w:val="00E64261"/>
    <w:rsid w:val="00E648E0"/>
    <w:rsid w:val="00E65FFD"/>
    <w:rsid w:val="00E66C58"/>
    <w:rsid w:val="00E66FA6"/>
    <w:rsid w:val="00E672E4"/>
    <w:rsid w:val="00E675DB"/>
    <w:rsid w:val="00E70B65"/>
    <w:rsid w:val="00E7154D"/>
    <w:rsid w:val="00E71877"/>
    <w:rsid w:val="00E718A7"/>
    <w:rsid w:val="00E71A71"/>
    <w:rsid w:val="00E71E0B"/>
    <w:rsid w:val="00E725E0"/>
    <w:rsid w:val="00E73634"/>
    <w:rsid w:val="00E7446A"/>
    <w:rsid w:val="00E74675"/>
    <w:rsid w:val="00E75905"/>
    <w:rsid w:val="00E778B7"/>
    <w:rsid w:val="00E778FC"/>
    <w:rsid w:val="00E77A2D"/>
    <w:rsid w:val="00E801E6"/>
    <w:rsid w:val="00E806B5"/>
    <w:rsid w:val="00E80AC0"/>
    <w:rsid w:val="00E81211"/>
    <w:rsid w:val="00E814E8"/>
    <w:rsid w:val="00E81C9A"/>
    <w:rsid w:val="00E8226F"/>
    <w:rsid w:val="00E822A2"/>
    <w:rsid w:val="00E82DB5"/>
    <w:rsid w:val="00E833CD"/>
    <w:rsid w:val="00E839B0"/>
    <w:rsid w:val="00E83E9A"/>
    <w:rsid w:val="00E83F8A"/>
    <w:rsid w:val="00E84E48"/>
    <w:rsid w:val="00E85BBD"/>
    <w:rsid w:val="00E86673"/>
    <w:rsid w:val="00E8728B"/>
    <w:rsid w:val="00E87593"/>
    <w:rsid w:val="00E87D98"/>
    <w:rsid w:val="00E910A0"/>
    <w:rsid w:val="00E91368"/>
    <w:rsid w:val="00E91531"/>
    <w:rsid w:val="00E921D9"/>
    <w:rsid w:val="00E92288"/>
    <w:rsid w:val="00E922C2"/>
    <w:rsid w:val="00E92B81"/>
    <w:rsid w:val="00E93835"/>
    <w:rsid w:val="00E95035"/>
    <w:rsid w:val="00E953C2"/>
    <w:rsid w:val="00E96505"/>
    <w:rsid w:val="00E96AAF"/>
    <w:rsid w:val="00E96DAA"/>
    <w:rsid w:val="00E96E7D"/>
    <w:rsid w:val="00E97CFD"/>
    <w:rsid w:val="00EA0B8A"/>
    <w:rsid w:val="00EA0F85"/>
    <w:rsid w:val="00EA0FDD"/>
    <w:rsid w:val="00EA225C"/>
    <w:rsid w:val="00EA23C4"/>
    <w:rsid w:val="00EA2DBC"/>
    <w:rsid w:val="00EA363C"/>
    <w:rsid w:val="00EA4330"/>
    <w:rsid w:val="00EA4A03"/>
    <w:rsid w:val="00EA4D8F"/>
    <w:rsid w:val="00EA59CC"/>
    <w:rsid w:val="00EA5AC0"/>
    <w:rsid w:val="00EA5FC8"/>
    <w:rsid w:val="00EA63E2"/>
    <w:rsid w:val="00EB0259"/>
    <w:rsid w:val="00EB02C9"/>
    <w:rsid w:val="00EB033E"/>
    <w:rsid w:val="00EB060E"/>
    <w:rsid w:val="00EB0F5A"/>
    <w:rsid w:val="00EB1231"/>
    <w:rsid w:val="00EB3311"/>
    <w:rsid w:val="00EB3D6B"/>
    <w:rsid w:val="00EB40B0"/>
    <w:rsid w:val="00EB60AA"/>
    <w:rsid w:val="00EB6FAF"/>
    <w:rsid w:val="00EB727F"/>
    <w:rsid w:val="00EB75FE"/>
    <w:rsid w:val="00EB7BFA"/>
    <w:rsid w:val="00EB7FEF"/>
    <w:rsid w:val="00EC0ACD"/>
    <w:rsid w:val="00EC12BD"/>
    <w:rsid w:val="00EC1454"/>
    <w:rsid w:val="00EC15E4"/>
    <w:rsid w:val="00EC191E"/>
    <w:rsid w:val="00EC1C94"/>
    <w:rsid w:val="00EC353D"/>
    <w:rsid w:val="00EC37DD"/>
    <w:rsid w:val="00EC37E9"/>
    <w:rsid w:val="00EC43E7"/>
    <w:rsid w:val="00EC5641"/>
    <w:rsid w:val="00EC7251"/>
    <w:rsid w:val="00ED03B6"/>
    <w:rsid w:val="00ED053D"/>
    <w:rsid w:val="00ED0C2F"/>
    <w:rsid w:val="00ED170D"/>
    <w:rsid w:val="00ED1B34"/>
    <w:rsid w:val="00ED1E32"/>
    <w:rsid w:val="00ED1EA6"/>
    <w:rsid w:val="00ED29DA"/>
    <w:rsid w:val="00ED305B"/>
    <w:rsid w:val="00ED39BB"/>
    <w:rsid w:val="00ED3D20"/>
    <w:rsid w:val="00ED5652"/>
    <w:rsid w:val="00ED6052"/>
    <w:rsid w:val="00ED738C"/>
    <w:rsid w:val="00ED76FF"/>
    <w:rsid w:val="00EE02F1"/>
    <w:rsid w:val="00EE05BF"/>
    <w:rsid w:val="00EE0EA3"/>
    <w:rsid w:val="00EE1686"/>
    <w:rsid w:val="00EE2351"/>
    <w:rsid w:val="00EE29EC"/>
    <w:rsid w:val="00EE3984"/>
    <w:rsid w:val="00EE3C18"/>
    <w:rsid w:val="00EE503B"/>
    <w:rsid w:val="00EE517E"/>
    <w:rsid w:val="00EE7BB5"/>
    <w:rsid w:val="00EF0827"/>
    <w:rsid w:val="00EF0D32"/>
    <w:rsid w:val="00EF0E6F"/>
    <w:rsid w:val="00EF1C3B"/>
    <w:rsid w:val="00EF23B4"/>
    <w:rsid w:val="00EF23E9"/>
    <w:rsid w:val="00EF3041"/>
    <w:rsid w:val="00EF3A08"/>
    <w:rsid w:val="00EF3CAD"/>
    <w:rsid w:val="00EF4555"/>
    <w:rsid w:val="00EF48DB"/>
    <w:rsid w:val="00EF4BA4"/>
    <w:rsid w:val="00EF58E9"/>
    <w:rsid w:val="00EF5D0B"/>
    <w:rsid w:val="00EF5DA3"/>
    <w:rsid w:val="00EF708A"/>
    <w:rsid w:val="00EF71C0"/>
    <w:rsid w:val="00EF77E3"/>
    <w:rsid w:val="00EF7D61"/>
    <w:rsid w:val="00F0038E"/>
    <w:rsid w:val="00F00690"/>
    <w:rsid w:val="00F007EF"/>
    <w:rsid w:val="00F01289"/>
    <w:rsid w:val="00F01365"/>
    <w:rsid w:val="00F019CD"/>
    <w:rsid w:val="00F020E7"/>
    <w:rsid w:val="00F02340"/>
    <w:rsid w:val="00F02948"/>
    <w:rsid w:val="00F03035"/>
    <w:rsid w:val="00F03D0B"/>
    <w:rsid w:val="00F03F8B"/>
    <w:rsid w:val="00F04D51"/>
    <w:rsid w:val="00F06690"/>
    <w:rsid w:val="00F06BED"/>
    <w:rsid w:val="00F118EB"/>
    <w:rsid w:val="00F119C0"/>
    <w:rsid w:val="00F123FA"/>
    <w:rsid w:val="00F125F2"/>
    <w:rsid w:val="00F13948"/>
    <w:rsid w:val="00F1467E"/>
    <w:rsid w:val="00F14C52"/>
    <w:rsid w:val="00F15682"/>
    <w:rsid w:val="00F15AC1"/>
    <w:rsid w:val="00F15B10"/>
    <w:rsid w:val="00F15EEB"/>
    <w:rsid w:val="00F1639F"/>
    <w:rsid w:val="00F168F8"/>
    <w:rsid w:val="00F16A15"/>
    <w:rsid w:val="00F16B22"/>
    <w:rsid w:val="00F1730A"/>
    <w:rsid w:val="00F17E61"/>
    <w:rsid w:val="00F20D92"/>
    <w:rsid w:val="00F210B5"/>
    <w:rsid w:val="00F23CB4"/>
    <w:rsid w:val="00F2445D"/>
    <w:rsid w:val="00F24A96"/>
    <w:rsid w:val="00F25813"/>
    <w:rsid w:val="00F26D10"/>
    <w:rsid w:val="00F26E65"/>
    <w:rsid w:val="00F26F43"/>
    <w:rsid w:val="00F27024"/>
    <w:rsid w:val="00F27635"/>
    <w:rsid w:val="00F27CAE"/>
    <w:rsid w:val="00F27DA5"/>
    <w:rsid w:val="00F27DAE"/>
    <w:rsid w:val="00F30938"/>
    <w:rsid w:val="00F3103F"/>
    <w:rsid w:val="00F31410"/>
    <w:rsid w:val="00F31526"/>
    <w:rsid w:val="00F31D04"/>
    <w:rsid w:val="00F3352C"/>
    <w:rsid w:val="00F335BA"/>
    <w:rsid w:val="00F34EB5"/>
    <w:rsid w:val="00F35D21"/>
    <w:rsid w:val="00F35F4C"/>
    <w:rsid w:val="00F36011"/>
    <w:rsid w:val="00F36EC5"/>
    <w:rsid w:val="00F36F99"/>
    <w:rsid w:val="00F3784B"/>
    <w:rsid w:val="00F40DCF"/>
    <w:rsid w:val="00F439E8"/>
    <w:rsid w:val="00F43B4B"/>
    <w:rsid w:val="00F43B72"/>
    <w:rsid w:val="00F441BD"/>
    <w:rsid w:val="00F44BA2"/>
    <w:rsid w:val="00F4535E"/>
    <w:rsid w:val="00F45B75"/>
    <w:rsid w:val="00F45E1E"/>
    <w:rsid w:val="00F46458"/>
    <w:rsid w:val="00F46737"/>
    <w:rsid w:val="00F51F24"/>
    <w:rsid w:val="00F5278F"/>
    <w:rsid w:val="00F53AA1"/>
    <w:rsid w:val="00F53F73"/>
    <w:rsid w:val="00F5593D"/>
    <w:rsid w:val="00F5662D"/>
    <w:rsid w:val="00F5697B"/>
    <w:rsid w:val="00F56A62"/>
    <w:rsid w:val="00F56BA0"/>
    <w:rsid w:val="00F61527"/>
    <w:rsid w:val="00F61D8A"/>
    <w:rsid w:val="00F61DD8"/>
    <w:rsid w:val="00F61F9D"/>
    <w:rsid w:val="00F62D76"/>
    <w:rsid w:val="00F637F2"/>
    <w:rsid w:val="00F63B29"/>
    <w:rsid w:val="00F649C8"/>
    <w:rsid w:val="00F65047"/>
    <w:rsid w:val="00F657D6"/>
    <w:rsid w:val="00F65885"/>
    <w:rsid w:val="00F65A0B"/>
    <w:rsid w:val="00F67718"/>
    <w:rsid w:val="00F6780B"/>
    <w:rsid w:val="00F70063"/>
    <w:rsid w:val="00F71990"/>
    <w:rsid w:val="00F71F5C"/>
    <w:rsid w:val="00F7229D"/>
    <w:rsid w:val="00F72F9D"/>
    <w:rsid w:val="00F730A4"/>
    <w:rsid w:val="00F73189"/>
    <w:rsid w:val="00F734DD"/>
    <w:rsid w:val="00F73806"/>
    <w:rsid w:val="00F73900"/>
    <w:rsid w:val="00F74936"/>
    <w:rsid w:val="00F755ED"/>
    <w:rsid w:val="00F804F0"/>
    <w:rsid w:val="00F80FBB"/>
    <w:rsid w:val="00F81141"/>
    <w:rsid w:val="00F81549"/>
    <w:rsid w:val="00F81608"/>
    <w:rsid w:val="00F821F0"/>
    <w:rsid w:val="00F8303C"/>
    <w:rsid w:val="00F830C8"/>
    <w:rsid w:val="00F83532"/>
    <w:rsid w:val="00F83DB2"/>
    <w:rsid w:val="00F844E3"/>
    <w:rsid w:val="00F84974"/>
    <w:rsid w:val="00F85B50"/>
    <w:rsid w:val="00F864D0"/>
    <w:rsid w:val="00F870E5"/>
    <w:rsid w:val="00F871F3"/>
    <w:rsid w:val="00F874DC"/>
    <w:rsid w:val="00F87C57"/>
    <w:rsid w:val="00F90AEC"/>
    <w:rsid w:val="00F90C9C"/>
    <w:rsid w:val="00F913F2"/>
    <w:rsid w:val="00F91968"/>
    <w:rsid w:val="00F923B4"/>
    <w:rsid w:val="00F92910"/>
    <w:rsid w:val="00F93FE7"/>
    <w:rsid w:val="00F941DC"/>
    <w:rsid w:val="00F9475F"/>
    <w:rsid w:val="00F94A75"/>
    <w:rsid w:val="00F94DD5"/>
    <w:rsid w:val="00F95C27"/>
    <w:rsid w:val="00F96249"/>
    <w:rsid w:val="00F96D66"/>
    <w:rsid w:val="00F974EB"/>
    <w:rsid w:val="00F97ED3"/>
    <w:rsid w:val="00FA09EC"/>
    <w:rsid w:val="00FA0F24"/>
    <w:rsid w:val="00FA14AF"/>
    <w:rsid w:val="00FA1FD0"/>
    <w:rsid w:val="00FA2AA7"/>
    <w:rsid w:val="00FA2E46"/>
    <w:rsid w:val="00FA3B51"/>
    <w:rsid w:val="00FA48EA"/>
    <w:rsid w:val="00FA5345"/>
    <w:rsid w:val="00FA57C5"/>
    <w:rsid w:val="00FA7F46"/>
    <w:rsid w:val="00FB10C8"/>
    <w:rsid w:val="00FB11E1"/>
    <w:rsid w:val="00FB15F5"/>
    <w:rsid w:val="00FB1E28"/>
    <w:rsid w:val="00FB258D"/>
    <w:rsid w:val="00FB2768"/>
    <w:rsid w:val="00FB2EAB"/>
    <w:rsid w:val="00FB3168"/>
    <w:rsid w:val="00FB361C"/>
    <w:rsid w:val="00FB3F6B"/>
    <w:rsid w:val="00FB4141"/>
    <w:rsid w:val="00FB4185"/>
    <w:rsid w:val="00FB45BC"/>
    <w:rsid w:val="00FB4651"/>
    <w:rsid w:val="00FB4AAE"/>
    <w:rsid w:val="00FB5F6D"/>
    <w:rsid w:val="00FB7809"/>
    <w:rsid w:val="00FB7F45"/>
    <w:rsid w:val="00FC0FAA"/>
    <w:rsid w:val="00FC15C1"/>
    <w:rsid w:val="00FC39D1"/>
    <w:rsid w:val="00FC498A"/>
    <w:rsid w:val="00FC5CFA"/>
    <w:rsid w:val="00FC5E14"/>
    <w:rsid w:val="00FC6FFA"/>
    <w:rsid w:val="00FD14E4"/>
    <w:rsid w:val="00FD16C1"/>
    <w:rsid w:val="00FD2155"/>
    <w:rsid w:val="00FD2238"/>
    <w:rsid w:val="00FD426F"/>
    <w:rsid w:val="00FD5108"/>
    <w:rsid w:val="00FD54EA"/>
    <w:rsid w:val="00FD5E26"/>
    <w:rsid w:val="00FD63F8"/>
    <w:rsid w:val="00FD650C"/>
    <w:rsid w:val="00FD7D52"/>
    <w:rsid w:val="00FE03CB"/>
    <w:rsid w:val="00FE0552"/>
    <w:rsid w:val="00FE0869"/>
    <w:rsid w:val="00FE0C44"/>
    <w:rsid w:val="00FE15B4"/>
    <w:rsid w:val="00FE2458"/>
    <w:rsid w:val="00FE259D"/>
    <w:rsid w:val="00FE3324"/>
    <w:rsid w:val="00FE3B8F"/>
    <w:rsid w:val="00FE3D39"/>
    <w:rsid w:val="00FE47AB"/>
    <w:rsid w:val="00FE4D2F"/>
    <w:rsid w:val="00FE5EF9"/>
    <w:rsid w:val="00FE6DEA"/>
    <w:rsid w:val="00FE73CC"/>
    <w:rsid w:val="00FE74BE"/>
    <w:rsid w:val="00FE76AC"/>
    <w:rsid w:val="00FE7C17"/>
    <w:rsid w:val="00FF139D"/>
    <w:rsid w:val="00FF15A7"/>
    <w:rsid w:val="00FF1D25"/>
    <w:rsid w:val="00FF20DC"/>
    <w:rsid w:val="00FF22F4"/>
    <w:rsid w:val="00FF25A0"/>
    <w:rsid w:val="00FF36E9"/>
    <w:rsid w:val="00FF4568"/>
    <w:rsid w:val="00FF4F54"/>
    <w:rsid w:val="00FF505D"/>
    <w:rsid w:val="00FF5175"/>
    <w:rsid w:val="00FF5A4D"/>
    <w:rsid w:val="00FF6B9B"/>
    <w:rsid w:val="00FF6C08"/>
    <w:rsid w:val="00FF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C56E2"/>
  <w15:docId w15:val="{59515DF6-5FE7-48E8-BF3D-71872ECE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21609"/>
    <w:pPr>
      <w:keepNext/>
      <w:autoSpaceDE w:val="0"/>
      <w:autoSpaceDN w:val="0"/>
      <w:adjustRightInd w:val="0"/>
      <w:outlineLvl w:val="0"/>
    </w:pPr>
    <w:rPr>
      <w:rFonts w:ascii="Arial" w:hAnsi="Arial" w:cs="Arial"/>
      <w:b/>
      <w:bCs/>
      <w:color w:val="0000FF"/>
      <w:sz w:val="20"/>
      <w:szCs w:val="20"/>
    </w:rPr>
  </w:style>
  <w:style w:type="paragraph" w:styleId="Heading2">
    <w:name w:val="heading 2"/>
    <w:basedOn w:val="Normal"/>
    <w:next w:val="Normal"/>
    <w:link w:val="Heading2Char"/>
    <w:qFormat/>
    <w:rsid w:val="00021609"/>
    <w:pPr>
      <w:keepNext/>
      <w:autoSpaceDE w:val="0"/>
      <w:autoSpaceDN w:val="0"/>
      <w:adjustRightInd w:val="0"/>
      <w:outlineLvl w:val="1"/>
    </w:pPr>
    <w:rPr>
      <w:rFonts w:ascii="Arial" w:hAnsi="Arial" w:cs="Arial"/>
      <w:b/>
      <w:bCs/>
      <w:sz w:val="20"/>
      <w:szCs w:val="20"/>
    </w:rPr>
  </w:style>
  <w:style w:type="paragraph" w:styleId="Heading3">
    <w:name w:val="heading 3"/>
    <w:basedOn w:val="Normal"/>
    <w:next w:val="Normal"/>
    <w:link w:val="Heading3Char"/>
    <w:qFormat/>
    <w:rsid w:val="00021609"/>
    <w:pPr>
      <w:keepNext/>
      <w:outlineLvl w:val="2"/>
    </w:pPr>
    <w:rPr>
      <w:rFonts w:ascii="Arial" w:hAnsi="Arial" w:cs="Arial"/>
      <w:b/>
      <w:bCs/>
      <w:color w:val="FF0000"/>
      <w:sz w:val="20"/>
      <w:szCs w:val="20"/>
    </w:rPr>
  </w:style>
  <w:style w:type="paragraph" w:styleId="Heading4">
    <w:name w:val="heading 4"/>
    <w:basedOn w:val="Normal"/>
    <w:next w:val="Normal"/>
    <w:link w:val="Heading4Char"/>
    <w:uiPriority w:val="9"/>
    <w:semiHidden/>
    <w:unhideWhenUsed/>
    <w:qFormat/>
    <w:rsid w:val="008C6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C02C9"/>
    <w:rPr>
      <w:rFonts w:ascii="Tahoma" w:hAnsi="Tahoma" w:cs="Tahoma"/>
      <w:sz w:val="16"/>
      <w:szCs w:val="16"/>
    </w:rPr>
  </w:style>
  <w:style w:type="paragraph" w:styleId="BodyText">
    <w:name w:val="Body Text"/>
    <w:basedOn w:val="Normal"/>
    <w:link w:val="BodyTextChar"/>
    <w:uiPriority w:val="99"/>
    <w:rsid w:val="00F72F9D"/>
    <w:pPr>
      <w:jc w:val="both"/>
    </w:pPr>
    <w:rPr>
      <w:rFonts w:ascii="VNI-Helve" w:hAnsi="VNI-Helve"/>
      <w:lang w:val="x-none" w:eastAsia="x-none"/>
    </w:rPr>
  </w:style>
  <w:style w:type="paragraph" w:styleId="BodyText2">
    <w:name w:val="Body Text 2"/>
    <w:basedOn w:val="Normal"/>
    <w:link w:val="BodyText2Char"/>
    <w:uiPriority w:val="99"/>
    <w:rsid w:val="00C5568D"/>
    <w:pPr>
      <w:spacing w:after="120" w:line="480" w:lineRule="auto"/>
    </w:pPr>
  </w:style>
  <w:style w:type="paragraph" w:styleId="Footer">
    <w:name w:val="footer"/>
    <w:basedOn w:val="Normal"/>
    <w:link w:val="FooterChar"/>
    <w:uiPriority w:val="99"/>
    <w:rsid w:val="006061FA"/>
    <w:pPr>
      <w:tabs>
        <w:tab w:val="center" w:pos="4320"/>
        <w:tab w:val="right" w:pos="8640"/>
      </w:tabs>
    </w:pPr>
  </w:style>
  <w:style w:type="character" w:styleId="PageNumber">
    <w:name w:val="page number"/>
    <w:basedOn w:val="DefaultParagraphFont"/>
    <w:rsid w:val="006061FA"/>
  </w:style>
  <w:style w:type="paragraph" w:styleId="Header">
    <w:name w:val="header"/>
    <w:basedOn w:val="Normal"/>
    <w:link w:val="HeaderChar"/>
    <w:uiPriority w:val="99"/>
    <w:rsid w:val="00D02C14"/>
    <w:pPr>
      <w:tabs>
        <w:tab w:val="center" w:pos="4320"/>
        <w:tab w:val="right" w:pos="8640"/>
      </w:tabs>
    </w:pPr>
    <w:rPr>
      <w:lang w:val="x-none" w:eastAsia="x-none"/>
    </w:rPr>
  </w:style>
  <w:style w:type="paragraph" w:styleId="BodyText3">
    <w:name w:val="Body Text 3"/>
    <w:basedOn w:val="Normal"/>
    <w:link w:val="BodyText3Char"/>
    <w:uiPriority w:val="99"/>
    <w:semiHidden/>
    <w:rsid w:val="00C90B5E"/>
    <w:pPr>
      <w:spacing w:line="312" w:lineRule="auto"/>
      <w:jc w:val="both"/>
    </w:pPr>
    <w:rPr>
      <w:b/>
      <w:bCs/>
      <w:sz w:val="26"/>
      <w:szCs w:val="26"/>
      <w:lang w:val="x-none" w:eastAsia="x-none"/>
    </w:rPr>
  </w:style>
  <w:style w:type="character" w:customStyle="1" w:styleId="BodyText3Char">
    <w:name w:val="Body Text 3 Char"/>
    <w:link w:val="BodyText3"/>
    <w:uiPriority w:val="99"/>
    <w:semiHidden/>
    <w:rsid w:val="00C90B5E"/>
    <w:rPr>
      <w:b/>
      <w:bCs/>
      <w:sz w:val="26"/>
      <w:szCs w:val="26"/>
    </w:rPr>
  </w:style>
  <w:style w:type="paragraph" w:styleId="BodyTextIndent">
    <w:name w:val="Body Text Indent"/>
    <w:basedOn w:val="Normal"/>
    <w:link w:val="BodyTextIndentChar"/>
    <w:uiPriority w:val="99"/>
    <w:rsid w:val="00A03246"/>
    <w:pPr>
      <w:spacing w:after="120"/>
      <w:ind w:left="360"/>
    </w:pPr>
  </w:style>
  <w:style w:type="character" w:styleId="CommentReference">
    <w:name w:val="annotation reference"/>
    <w:uiPriority w:val="99"/>
    <w:semiHidden/>
    <w:rsid w:val="00526B46"/>
    <w:rPr>
      <w:sz w:val="16"/>
      <w:szCs w:val="16"/>
    </w:rPr>
  </w:style>
  <w:style w:type="paragraph" w:styleId="CommentText">
    <w:name w:val="annotation text"/>
    <w:basedOn w:val="Normal"/>
    <w:link w:val="CommentTextChar"/>
    <w:uiPriority w:val="99"/>
    <w:rsid w:val="00526B46"/>
    <w:rPr>
      <w:sz w:val="20"/>
      <w:szCs w:val="20"/>
    </w:rPr>
  </w:style>
  <w:style w:type="paragraph" w:styleId="CommentSubject">
    <w:name w:val="annotation subject"/>
    <w:basedOn w:val="CommentText"/>
    <w:next w:val="CommentText"/>
    <w:link w:val="CommentSubjectChar"/>
    <w:uiPriority w:val="99"/>
    <w:semiHidden/>
    <w:rsid w:val="00526B46"/>
    <w:rPr>
      <w:b/>
      <w:bCs/>
    </w:rPr>
  </w:style>
  <w:style w:type="paragraph" w:styleId="FootnoteText">
    <w:name w:val="footnote text"/>
    <w:basedOn w:val="Normal"/>
    <w:link w:val="FootnoteTextChar"/>
    <w:uiPriority w:val="99"/>
    <w:semiHidden/>
    <w:rsid w:val="00E53255"/>
    <w:rPr>
      <w:sz w:val="20"/>
      <w:szCs w:val="20"/>
    </w:rPr>
  </w:style>
  <w:style w:type="character" w:styleId="FootnoteReference">
    <w:name w:val="footnote reference"/>
    <w:semiHidden/>
    <w:rsid w:val="00E53255"/>
    <w:rPr>
      <w:vertAlign w:val="superscript"/>
    </w:rPr>
  </w:style>
  <w:style w:type="paragraph" w:styleId="BodyTextIndent2">
    <w:name w:val="Body Text Indent 2"/>
    <w:basedOn w:val="Normal"/>
    <w:link w:val="BodyTextIndent2Char"/>
    <w:uiPriority w:val="99"/>
    <w:unhideWhenUsed/>
    <w:rsid w:val="001C218E"/>
    <w:pPr>
      <w:spacing w:after="120" w:line="480" w:lineRule="auto"/>
      <w:ind w:left="360"/>
    </w:pPr>
    <w:rPr>
      <w:lang w:val="x-none" w:eastAsia="x-none"/>
    </w:rPr>
  </w:style>
  <w:style w:type="character" w:customStyle="1" w:styleId="BodyTextIndent2Char">
    <w:name w:val="Body Text Indent 2 Char"/>
    <w:link w:val="BodyTextIndent2"/>
    <w:uiPriority w:val="99"/>
    <w:rsid w:val="001C218E"/>
    <w:rPr>
      <w:sz w:val="24"/>
      <w:szCs w:val="24"/>
    </w:rPr>
  </w:style>
  <w:style w:type="paragraph" w:customStyle="1" w:styleId="Default">
    <w:name w:val="Default"/>
    <w:rsid w:val="000A0773"/>
    <w:pPr>
      <w:autoSpaceDE w:val="0"/>
      <w:autoSpaceDN w:val="0"/>
      <w:adjustRightInd w:val="0"/>
    </w:pPr>
    <w:rPr>
      <w:rFonts w:eastAsia="MS Mincho"/>
      <w:color w:val="000000"/>
      <w:sz w:val="24"/>
      <w:szCs w:val="24"/>
      <w:lang w:eastAsia="ja-JP"/>
    </w:rPr>
  </w:style>
  <w:style w:type="paragraph" w:customStyle="1" w:styleId="Than">
    <w:name w:val="Than"/>
    <w:basedOn w:val="Normal"/>
    <w:uiPriority w:val="99"/>
    <w:rsid w:val="00CA667F"/>
    <w:pPr>
      <w:spacing w:before="120"/>
      <w:ind w:firstLine="567"/>
      <w:jc w:val="both"/>
    </w:pPr>
    <w:rPr>
      <w:rFonts w:ascii="PdTime" w:hAnsi="PdTime"/>
      <w:lang w:val="en-GB"/>
    </w:rPr>
  </w:style>
  <w:style w:type="paragraph" w:styleId="ListParagraph">
    <w:name w:val="List Paragraph"/>
    <w:basedOn w:val="Normal"/>
    <w:uiPriority w:val="34"/>
    <w:qFormat/>
    <w:rsid w:val="00A81E58"/>
    <w:pPr>
      <w:widowControl w:val="0"/>
      <w:adjustRightInd w:val="0"/>
      <w:spacing w:line="360" w:lineRule="atLeast"/>
      <w:ind w:left="720"/>
      <w:contextualSpacing/>
      <w:jc w:val="both"/>
      <w:textAlignment w:val="baseline"/>
    </w:pPr>
    <w:rPr>
      <w:sz w:val="20"/>
      <w:szCs w:val="20"/>
    </w:rPr>
  </w:style>
  <w:style w:type="character" w:styleId="Hyperlink">
    <w:name w:val="Hyperlink"/>
    <w:uiPriority w:val="99"/>
    <w:unhideWhenUsed/>
    <w:rsid w:val="005265A0"/>
    <w:rPr>
      <w:color w:val="0000FF"/>
      <w:u w:val="single"/>
    </w:rPr>
  </w:style>
  <w:style w:type="character" w:customStyle="1" w:styleId="BodyTextChar">
    <w:name w:val="Body Text Char"/>
    <w:link w:val="BodyText"/>
    <w:uiPriority w:val="99"/>
    <w:rsid w:val="005265A0"/>
    <w:rPr>
      <w:rFonts w:ascii="VNI-Helve" w:hAnsi="VNI-Helve"/>
      <w:sz w:val="24"/>
      <w:szCs w:val="24"/>
    </w:rPr>
  </w:style>
  <w:style w:type="character" w:customStyle="1" w:styleId="CommentTextChar">
    <w:name w:val="Comment Text Char"/>
    <w:basedOn w:val="DefaultParagraphFont"/>
    <w:link w:val="CommentText"/>
    <w:uiPriority w:val="99"/>
    <w:rsid w:val="00771793"/>
  </w:style>
  <w:style w:type="character" w:customStyle="1" w:styleId="HeaderChar">
    <w:name w:val="Header Char"/>
    <w:link w:val="Header"/>
    <w:uiPriority w:val="99"/>
    <w:rsid w:val="005B41C7"/>
    <w:rPr>
      <w:sz w:val="24"/>
      <w:szCs w:val="24"/>
    </w:rPr>
  </w:style>
  <w:style w:type="character" w:customStyle="1" w:styleId="BodyTextIndentChar">
    <w:name w:val="Body Text Indent Char"/>
    <w:link w:val="BodyTextIndent"/>
    <w:uiPriority w:val="99"/>
    <w:rsid w:val="005B1D73"/>
    <w:rPr>
      <w:sz w:val="24"/>
      <w:szCs w:val="24"/>
    </w:rPr>
  </w:style>
  <w:style w:type="character" w:customStyle="1" w:styleId="FooterChar">
    <w:name w:val="Footer Char"/>
    <w:link w:val="Footer"/>
    <w:uiPriority w:val="99"/>
    <w:rsid w:val="00951196"/>
    <w:rPr>
      <w:sz w:val="24"/>
      <w:szCs w:val="24"/>
    </w:rPr>
  </w:style>
  <w:style w:type="character" w:customStyle="1" w:styleId="apple-converted-space">
    <w:name w:val="apple-converted-space"/>
    <w:rsid w:val="00B341D8"/>
  </w:style>
  <w:style w:type="character" w:customStyle="1" w:styleId="apple-style-span">
    <w:name w:val="apple-style-span"/>
    <w:rsid w:val="00B341D8"/>
  </w:style>
  <w:style w:type="paragraph" w:customStyle="1" w:styleId="Giua">
    <w:name w:val="Giua"/>
    <w:basedOn w:val="Normal"/>
    <w:autoRedefine/>
    <w:uiPriority w:val="99"/>
    <w:rsid w:val="00504059"/>
    <w:pPr>
      <w:spacing w:before="40" w:after="40" w:line="288" w:lineRule="auto"/>
    </w:pPr>
    <w:rPr>
      <w:rFonts w:eastAsia="Calibri"/>
      <w:color w:val="000000"/>
      <w:spacing w:val="4"/>
      <w:sz w:val="22"/>
      <w:szCs w:val="28"/>
      <w:lang w:val="it-IT"/>
    </w:rPr>
  </w:style>
  <w:style w:type="paragraph" w:customStyle="1" w:styleId="Bodycopy">
    <w:name w:val="Body copy"/>
    <w:basedOn w:val="Normal"/>
    <w:uiPriority w:val="99"/>
    <w:qFormat/>
    <w:rsid w:val="004922AD"/>
    <w:pPr>
      <w:spacing w:after="240" w:line="264" w:lineRule="auto"/>
    </w:pPr>
    <w:rPr>
      <w:rFonts w:ascii="Arial" w:hAnsi="Arial"/>
      <w:sz w:val="20"/>
      <w:szCs w:val="20"/>
      <w:lang w:val="en-GB" w:eastAsia="en-GB"/>
    </w:rPr>
  </w:style>
  <w:style w:type="paragraph" w:styleId="HTMLPreformatted">
    <w:name w:val="HTML Preformatted"/>
    <w:basedOn w:val="Normal"/>
    <w:link w:val="HTMLPreformattedChar"/>
    <w:uiPriority w:val="99"/>
    <w:unhideWhenUsed/>
    <w:rsid w:val="005A3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A38FB"/>
    <w:rPr>
      <w:rFonts w:ascii="Courier New" w:hAnsi="Courier New" w:cs="Courier New"/>
      <w:lang w:bidi="ar-SA"/>
    </w:rPr>
  </w:style>
  <w:style w:type="paragraph" w:styleId="NormalWeb">
    <w:name w:val="Normal (Web)"/>
    <w:basedOn w:val="Normal"/>
    <w:uiPriority w:val="99"/>
    <w:rsid w:val="00BF71B6"/>
    <w:pPr>
      <w:spacing w:before="100" w:beforeAutospacing="1" w:after="100" w:afterAutospacing="1" w:line="288" w:lineRule="auto"/>
      <w:jc w:val="center"/>
    </w:pPr>
    <w:rPr>
      <w:rFonts w:eastAsia="Calibri"/>
    </w:rPr>
  </w:style>
  <w:style w:type="character" w:customStyle="1" w:styleId="Heading1Char">
    <w:name w:val="Heading 1 Char"/>
    <w:link w:val="Heading1"/>
    <w:rsid w:val="00283660"/>
    <w:rPr>
      <w:rFonts w:ascii="Arial" w:hAnsi="Arial" w:cs="Arial"/>
      <w:b/>
      <w:bCs/>
      <w:color w:val="0000FF"/>
    </w:rPr>
  </w:style>
  <w:style w:type="character" w:customStyle="1" w:styleId="Heading2Char">
    <w:name w:val="Heading 2 Char"/>
    <w:link w:val="Heading2"/>
    <w:rsid w:val="00283660"/>
    <w:rPr>
      <w:rFonts w:ascii="Arial" w:hAnsi="Arial" w:cs="Arial"/>
      <w:b/>
      <w:bCs/>
    </w:rPr>
  </w:style>
  <w:style w:type="character" w:customStyle="1" w:styleId="Heading3Char">
    <w:name w:val="Heading 3 Char"/>
    <w:link w:val="Heading3"/>
    <w:rsid w:val="00283660"/>
    <w:rPr>
      <w:rFonts w:ascii="Arial" w:hAnsi="Arial" w:cs="Arial"/>
      <w:b/>
      <w:bCs/>
      <w:color w:val="FF0000"/>
    </w:rPr>
  </w:style>
  <w:style w:type="character" w:styleId="FollowedHyperlink">
    <w:name w:val="FollowedHyperlink"/>
    <w:uiPriority w:val="99"/>
    <w:semiHidden/>
    <w:unhideWhenUsed/>
    <w:rsid w:val="00283660"/>
    <w:rPr>
      <w:color w:val="800080"/>
      <w:u w:val="single"/>
    </w:rPr>
  </w:style>
  <w:style w:type="character" w:customStyle="1" w:styleId="FootnoteTextChar">
    <w:name w:val="Footnote Text Char"/>
    <w:link w:val="FootnoteText"/>
    <w:uiPriority w:val="99"/>
    <w:semiHidden/>
    <w:rsid w:val="00283660"/>
  </w:style>
  <w:style w:type="character" w:customStyle="1" w:styleId="BodyText2Char">
    <w:name w:val="Body Text 2 Char"/>
    <w:link w:val="BodyText2"/>
    <w:uiPriority w:val="99"/>
    <w:rsid w:val="00283660"/>
    <w:rPr>
      <w:sz w:val="24"/>
      <w:szCs w:val="24"/>
    </w:rPr>
  </w:style>
  <w:style w:type="character" w:customStyle="1" w:styleId="CommentSubjectChar">
    <w:name w:val="Comment Subject Char"/>
    <w:link w:val="CommentSubject"/>
    <w:uiPriority w:val="99"/>
    <w:semiHidden/>
    <w:rsid w:val="00283660"/>
    <w:rPr>
      <w:b/>
      <w:bCs/>
    </w:rPr>
  </w:style>
  <w:style w:type="character" w:customStyle="1" w:styleId="BalloonTextChar">
    <w:name w:val="Balloon Text Char"/>
    <w:link w:val="BalloonText"/>
    <w:uiPriority w:val="99"/>
    <w:semiHidden/>
    <w:rsid w:val="00283660"/>
    <w:rPr>
      <w:rFonts w:ascii="Tahoma" w:hAnsi="Tahoma" w:cs="Tahoma"/>
      <w:sz w:val="16"/>
      <w:szCs w:val="16"/>
    </w:rPr>
  </w:style>
  <w:style w:type="character" w:customStyle="1" w:styleId="Heading4Char">
    <w:name w:val="Heading 4 Char"/>
    <w:link w:val="Heading4"/>
    <w:uiPriority w:val="9"/>
    <w:semiHidden/>
    <w:rsid w:val="008C652F"/>
    <w:rPr>
      <w:rFonts w:ascii="Calibri" w:eastAsia="Times New Roman" w:hAnsi="Calibri" w:cs="Times New Roman"/>
      <w:b/>
      <w:bCs/>
      <w:sz w:val="28"/>
      <w:szCs w:val="28"/>
    </w:rPr>
  </w:style>
  <w:style w:type="paragraph" w:styleId="Revision">
    <w:name w:val="Revision"/>
    <w:hidden/>
    <w:uiPriority w:val="99"/>
    <w:semiHidden/>
    <w:rsid w:val="00525217"/>
    <w:rPr>
      <w:sz w:val="24"/>
      <w:szCs w:val="24"/>
    </w:rPr>
  </w:style>
  <w:style w:type="character" w:customStyle="1" w:styleId="UnresolvedMention1">
    <w:name w:val="Unresolved Mention1"/>
    <w:basedOn w:val="DefaultParagraphFont"/>
    <w:uiPriority w:val="99"/>
    <w:semiHidden/>
    <w:unhideWhenUsed/>
    <w:rsid w:val="00F73806"/>
    <w:rPr>
      <w:color w:val="605E5C"/>
      <w:shd w:val="clear" w:color="auto" w:fill="E1DFDD"/>
    </w:rPr>
  </w:style>
  <w:style w:type="paragraph" w:customStyle="1" w:styleId="Char4">
    <w:name w:val="Char4"/>
    <w:basedOn w:val="Normal"/>
    <w:semiHidden/>
    <w:rsid w:val="00C127DD"/>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241">
      <w:bodyDiv w:val="1"/>
      <w:marLeft w:val="0"/>
      <w:marRight w:val="0"/>
      <w:marTop w:val="0"/>
      <w:marBottom w:val="0"/>
      <w:divBdr>
        <w:top w:val="none" w:sz="0" w:space="0" w:color="auto"/>
        <w:left w:val="none" w:sz="0" w:space="0" w:color="auto"/>
        <w:bottom w:val="none" w:sz="0" w:space="0" w:color="auto"/>
        <w:right w:val="none" w:sz="0" w:space="0" w:color="auto"/>
      </w:divBdr>
    </w:div>
    <w:div w:id="64107644">
      <w:bodyDiv w:val="1"/>
      <w:marLeft w:val="0"/>
      <w:marRight w:val="0"/>
      <w:marTop w:val="0"/>
      <w:marBottom w:val="0"/>
      <w:divBdr>
        <w:top w:val="none" w:sz="0" w:space="0" w:color="auto"/>
        <w:left w:val="none" w:sz="0" w:space="0" w:color="auto"/>
        <w:bottom w:val="none" w:sz="0" w:space="0" w:color="auto"/>
        <w:right w:val="none" w:sz="0" w:space="0" w:color="auto"/>
      </w:divBdr>
    </w:div>
    <w:div w:id="68768149">
      <w:bodyDiv w:val="1"/>
      <w:marLeft w:val="0"/>
      <w:marRight w:val="0"/>
      <w:marTop w:val="0"/>
      <w:marBottom w:val="0"/>
      <w:divBdr>
        <w:top w:val="none" w:sz="0" w:space="0" w:color="auto"/>
        <w:left w:val="none" w:sz="0" w:space="0" w:color="auto"/>
        <w:bottom w:val="none" w:sz="0" w:space="0" w:color="auto"/>
        <w:right w:val="none" w:sz="0" w:space="0" w:color="auto"/>
      </w:divBdr>
    </w:div>
    <w:div w:id="71971150">
      <w:bodyDiv w:val="1"/>
      <w:marLeft w:val="0"/>
      <w:marRight w:val="0"/>
      <w:marTop w:val="0"/>
      <w:marBottom w:val="0"/>
      <w:divBdr>
        <w:top w:val="none" w:sz="0" w:space="0" w:color="auto"/>
        <w:left w:val="none" w:sz="0" w:space="0" w:color="auto"/>
        <w:bottom w:val="none" w:sz="0" w:space="0" w:color="auto"/>
        <w:right w:val="none" w:sz="0" w:space="0" w:color="auto"/>
      </w:divBdr>
    </w:div>
    <w:div w:id="90973771">
      <w:bodyDiv w:val="1"/>
      <w:marLeft w:val="0"/>
      <w:marRight w:val="0"/>
      <w:marTop w:val="0"/>
      <w:marBottom w:val="0"/>
      <w:divBdr>
        <w:top w:val="none" w:sz="0" w:space="0" w:color="auto"/>
        <w:left w:val="none" w:sz="0" w:space="0" w:color="auto"/>
        <w:bottom w:val="none" w:sz="0" w:space="0" w:color="auto"/>
        <w:right w:val="none" w:sz="0" w:space="0" w:color="auto"/>
      </w:divBdr>
    </w:div>
    <w:div w:id="92357311">
      <w:bodyDiv w:val="1"/>
      <w:marLeft w:val="0"/>
      <w:marRight w:val="0"/>
      <w:marTop w:val="0"/>
      <w:marBottom w:val="0"/>
      <w:divBdr>
        <w:top w:val="none" w:sz="0" w:space="0" w:color="auto"/>
        <w:left w:val="none" w:sz="0" w:space="0" w:color="auto"/>
        <w:bottom w:val="none" w:sz="0" w:space="0" w:color="auto"/>
        <w:right w:val="none" w:sz="0" w:space="0" w:color="auto"/>
      </w:divBdr>
    </w:div>
    <w:div w:id="94712709">
      <w:bodyDiv w:val="1"/>
      <w:marLeft w:val="0"/>
      <w:marRight w:val="0"/>
      <w:marTop w:val="0"/>
      <w:marBottom w:val="0"/>
      <w:divBdr>
        <w:top w:val="none" w:sz="0" w:space="0" w:color="auto"/>
        <w:left w:val="none" w:sz="0" w:space="0" w:color="auto"/>
        <w:bottom w:val="none" w:sz="0" w:space="0" w:color="auto"/>
        <w:right w:val="none" w:sz="0" w:space="0" w:color="auto"/>
      </w:divBdr>
    </w:div>
    <w:div w:id="95102284">
      <w:bodyDiv w:val="1"/>
      <w:marLeft w:val="0"/>
      <w:marRight w:val="0"/>
      <w:marTop w:val="0"/>
      <w:marBottom w:val="0"/>
      <w:divBdr>
        <w:top w:val="none" w:sz="0" w:space="0" w:color="auto"/>
        <w:left w:val="none" w:sz="0" w:space="0" w:color="auto"/>
        <w:bottom w:val="none" w:sz="0" w:space="0" w:color="auto"/>
        <w:right w:val="none" w:sz="0" w:space="0" w:color="auto"/>
      </w:divBdr>
    </w:div>
    <w:div w:id="134807590">
      <w:bodyDiv w:val="1"/>
      <w:marLeft w:val="0"/>
      <w:marRight w:val="0"/>
      <w:marTop w:val="0"/>
      <w:marBottom w:val="0"/>
      <w:divBdr>
        <w:top w:val="none" w:sz="0" w:space="0" w:color="auto"/>
        <w:left w:val="none" w:sz="0" w:space="0" w:color="auto"/>
        <w:bottom w:val="none" w:sz="0" w:space="0" w:color="auto"/>
        <w:right w:val="none" w:sz="0" w:space="0" w:color="auto"/>
      </w:divBdr>
    </w:div>
    <w:div w:id="188836807">
      <w:bodyDiv w:val="1"/>
      <w:marLeft w:val="0"/>
      <w:marRight w:val="0"/>
      <w:marTop w:val="0"/>
      <w:marBottom w:val="0"/>
      <w:divBdr>
        <w:top w:val="none" w:sz="0" w:space="0" w:color="auto"/>
        <w:left w:val="none" w:sz="0" w:space="0" w:color="auto"/>
        <w:bottom w:val="none" w:sz="0" w:space="0" w:color="auto"/>
        <w:right w:val="none" w:sz="0" w:space="0" w:color="auto"/>
      </w:divBdr>
    </w:div>
    <w:div w:id="217015503">
      <w:bodyDiv w:val="1"/>
      <w:marLeft w:val="0"/>
      <w:marRight w:val="0"/>
      <w:marTop w:val="0"/>
      <w:marBottom w:val="0"/>
      <w:divBdr>
        <w:top w:val="none" w:sz="0" w:space="0" w:color="auto"/>
        <w:left w:val="none" w:sz="0" w:space="0" w:color="auto"/>
        <w:bottom w:val="none" w:sz="0" w:space="0" w:color="auto"/>
        <w:right w:val="none" w:sz="0" w:space="0" w:color="auto"/>
      </w:divBdr>
    </w:div>
    <w:div w:id="245455908">
      <w:bodyDiv w:val="1"/>
      <w:marLeft w:val="0"/>
      <w:marRight w:val="0"/>
      <w:marTop w:val="0"/>
      <w:marBottom w:val="0"/>
      <w:divBdr>
        <w:top w:val="none" w:sz="0" w:space="0" w:color="auto"/>
        <w:left w:val="none" w:sz="0" w:space="0" w:color="auto"/>
        <w:bottom w:val="none" w:sz="0" w:space="0" w:color="auto"/>
        <w:right w:val="none" w:sz="0" w:space="0" w:color="auto"/>
      </w:divBdr>
    </w:div>
    <w:div w:id="287013054">
      <w:bodyDiv w:val="1"/>
      <w:marLeft w:val="0"/>
      <w:marRight w:val="0"/>
      <w:marTop w:val="0"/>
      <w:marBottom w:val="0"/>
      <w:divBdr>
        <w:top w:val="none" w:sz="0" w:space="0" w:color="auto"/>
        <w:left w:val="none" w:sz="0" w:space="0" w:color="auto"/>
        <w:bottom w:val="none" w:sz="0" w:space="0" w:color="auto"/>
        <w:right w:val="none" w:sz="0" w:space="0" w:color="auto"/>
      </w:divBdr>
    </w:div>
    <w:div w:id="330792059">
      <w:bodyDiv w:val="1"/>
      <w:marLeft w:val="0"/>
      <w:marRight w:val="0"/>
      <w:marTop w:val="0"/>
      <w:marBottom w:val="0"/>
      <w:divBdr>
        <w:top w:val="none" w:sz="0" w:space="0" w:color="auto"/>
        <w:left w:val="none" w:sz="0" w:space="0" w:color="auto"/>
        <w:bottom w:val="none" w:sz="0" w:space="0" w:color="auto"/>
        <w:right w:val="none" w:sz="0" w:space="0" w:color="auto"/>
      </w:divBdr>
    </w:div>
    <w:div w:id="337541266">
      <w:bodyDiv w:val="1"/>
      <w:marLeft w:val="0"/>
      <w:marRight w:val="0"/>
      <w:marTop w:val="0"/>
      <w:marBottom w:val="0"/>
      <w:divBdr>
        <w:top w:val="none" w:sz="0" w:space="0" w:color="auto"/>
        <w:left w:val="none" w:sz="0" w:space="0" w:color="auto"/>
        <w:bottom w:val="none" w:sz="0" w:space="0" w:color="auto"/>
        <w:right w:val="none" w:sz="0" w:space="0" w:color="auto"/>
      </w:divBdr>
    </w:div>
    <w:div w:id="351079284">
      <w:bodyDiv w:val="1"/>
      <w:marLeft w:val="0"/>
      <w:marRight w:val="0"/>
      <w:marTop w:val="0"/>
      <w:marBottom w:val="0"/>
      <w:divBdr>
        <w:top w:val="none" w:sz="0" w:space="0" w:color="auto"/>
        <w:left w:val="none" w:sz="0" w:space="0" w:color="auto"/>
        <w:bottom w:val="none" w:sz="0" w:space="0" w:color="auto"/>
        <w:right w:val="none" w:sz="0" w:space="0" w:color="auto"/>
      </w:divBdr>
    </w:div>
    <w:div w:id="368605279">
      <w:bodyDiv w:val="1"/>
      <w:marLeft w:val="0"/>
      <w:marRight w:val="0"/>
      <w:marTop w:val="0"/>
      <w:marBottom w:val="0"/>
      <w:divBdr>
        <w:top w:val="none" w:sz="0" w:space="0" w:color="auto"/>
        <w:left w:val="none" w:sz="0" w:space="0" w:color="auto"/>
        <w:bottom w:val="none" w:sz="0" w:space="0" w:color="auto"/>
        <w:right w:val="none" w:sz="0" w:space="0" w:color="auto"/>
      </w:divBdr>
    </w:div>
    <w:div w:id="374698317">
      <w:bodyDiv w:val="1"/>
      <w:marLeft w:val="0"/>
      <w:marRight w:val="0"/>
      <w:marTop w:val="0"/>
      <w:marBottom w:val="0"/>
      <w:divBdr>
        <w:top w:val="none" w:sz="0" w:space="0" w:color="auto"/>
        <w:left w:val="none" w:sz="0" w:space="0" w:color="auto"/>
        <w:bottom w:val="none" w:sz="0" w:space="0" w:color="auto"/>
        <w:right w:val="none" w:sz="0" w:space="0" w:color="auto"/>
      </w:divBdr>
    </w:div>
    <w:div w:id="385646473">
      <w:bodyDiv w:val="1"/>
      <w:marLeft w:val="0"/>
      <w:marRight w:val="0"/>
      <w:marTop w:val="0"/>
      <w:marBottom w:val="0"/>
      <w:divBdr>
        <w:top w:val="none" w:sz="0" w:space="0" w:color="auto"/>
        <w:left w:val="none" w:sz="0" w:space="0" w:color="auto"/>
        <w:bottom w:val="none" w:sz="0" w:space="0" w:color="auto"/>
        <w:right w:val="none" w:sz="0" w:space="0" w:color="auto"/>
      </w:divBdr>
    </w:div>
    <w:div w:id="407460538">
      <w:bodyDiv w:val="1"/>
      <w:marLeft w:val="0"/>
      <w:marRight w:val="0"/>
      <w:marTop w:val="0"/>
      <w:marBottom w:val="0"/>
      <w:divBdr>
        <w:top w:val="none" w:sz="0" w:space="0" w:color="auto"/>
        <w:left w:val="none" w:sz="0" w:space="0" w:color="auto"/>
        <w:bottom w:val="none" w:sz="0" w:space="0" w:color="auto"/>
        <w:right w:val="none" w:sz="0" w:space="0" w:color="auto"/>
      </w:divBdr>
    </w:div>
    <w:div w:id="473106248">
      <w:bodyDiv w:val="1"/>
      <w:marLeft w:val="0"/>
      <w:marRight w:val="0"/>
      <w:marTop w:val="0"/>
      <w:marBottom w:val="0"/>
      <w:divBdr>
        <w:top w:val="none" w:sz="0" w:space="0" w:color="auto"/>
        <w:left w:val="none" w:sz="0" w:space="0" w:color="auto"/>
        <w:bottom w:val="none" w:sz="0" w:space="0" w:color="auto"/>
        <w:right w:val="none" w:sz="0" w:space="0" w:color="auto"/>
      </w:divBdr>
    </w:div>
    <w:div w:id="512379286">
      <w:bodyDiv w:val="1"/>
      <w:marLeft w:val="0"/>
      <w:marRight w:val="0"/>
      <w:marTop w:val="0"/>
      <w:marBottom w:val="0"/>
      <w:divBdr>
        <w:top w:val="none" w:sz="0" w:space="0" w:color="auto"/>
        <w:left w:val="none" w:sz="0" w:space="0" w:color="auto"/>
        <w:bottom w:val="none" w:sz="0" w:space="0" w:color="auto"/>
        <w:right w:val="none" w:sz="0" w:space="0" w:color="auto"/>
      </w:divBdr>
    </w:div>
    <w:div w:id="513809669">
      <w:bodyDiv w:val="1"/>
      <w:marLeft w:val="0"/>
      <w:marRight w:val="0"/>
      <w:marTop w:val="0"/>
      <w:marBottom w:val="0"/>
      <w:divBdr>
        <w:top w:val="none" w:sz="0" w:space="0" w:color="auto"/>
        <w:left w:val="none" w:sz="0" w:space="0" w:color="auto"/>
        <w:bottom w:val="none" w:sz="0" w:space="0" w:color="auto"/>
        <w:right w:val="none" w:sz="0" w:space="0" w:color="auto"/>
      </w:divBdr>
    </w:div>
    <w:div w:id="517618113">
      <w:bodyDiv w:val="1"/>
      <w:marLeft w:val="0"/>
      <w:marRight w:val="0"/>
      <w:marTop w:val="0"/>
      <w:marBottom w:val="0"/>
      <w:divBdr>
        <w:top w:val="none" w:sz="0" w:space="0" w:color="auto"/>
        <w:left w:val="none" w:sz="0" w:space="0" w:color="auto"/>
        <w:bottom w:val="none" w:sz="0" w:space="0" w:color="auto"/>
        <w:right w:val="none" w:sz="0" w:space="0" w:color="auto"/>
      </w:divBdr>
    </w:div>
    <w:div w:id="519465912">
      <w:bodyDiv w:val="1"/>
      <w:marLeft w:val="0"/>
      <w:marRight w:val="0"/>
      <w:marTop w:val="0"/>
      <w:marBottom w:val="0"/>
      <w:divBdr>
        <w:top w:val="none" w:sz="0" w:space="0" w:color="auto"/>
        <w:left w:val="none" w:sz="0" w:space="0" w:color="auto"/>
        <w:bottom w:val="none" w:sz="0" w:space="0" w:color="auto"/>
        <w:right w:val="none" w:sz="0" w:space="0" w:color="auto"/>
      </w:divBdr>
    </w:div>
    <w:div w:id="563568864">
      <w:bodyDiv w:val="1"/>
      <w:marLeft w:val="0"/>
      <w:marRight w:val="0"/>
      <w:marTop w:val="0"/>
      <w:marBottom w:val="0"/>
      <w:divBdr>
        <w:top w:val="none" w:sz="0" w:space="0" w:color="auto"/>
        <w:left w:val="none" w:sz="0" w:space="0" w:color="auto"/>
        <w:bottom w:val="none" w:sz="0" w:space="0" w:color="auto"/>
        <w:right w:val="none" w:sz="0" w:space="0" w:color="auto"/>
      </w:divBdr>
    </w:div>
    <w:div w:id="672950409">
      <w:bodyDiv w:val="1"/>
      <w:marLeft w:val="0"/>
      <w:marRight w:val="0"/>
      <w:marTop w:val="0"/>
      <w:marBottom w:val="0"/>
      <w:divBdr>
        <w:top w:val="none" w:sz="0" w:space="0" w:color="auto"/>
        <w:left w:val="none" w:sz="0" w:space="0" w:color="auto"/>
        <w:bottom w:val="none" w:sz="0" w:space="0" w:color="auto"/>
        <w:right w:val="none" w:sz="0" w:space="0" w:color="auto"/>
      </w:divBdr>
      <w:divsChild>
        <w:div w:id="2065908071">
          <w:marLeft w:val="0"/>
          <w:marRight w:val="0"/>
          <w:marTop w:val="0"/>
          <w:marBottom w:val="0"/>
          <w:divBdr>
            <w:top w:val="none" w:sz="0" w:space="0" w:color="auto"/>
            <w:left w:val="none" w:sz="0" w:space="0" w:color="auto"/>
            <w:bottom w:val="none" w:sz="0" w:space="0" w:color="auto"/>
            <w:right w:val="none" w:sz="0" w:space="0" w:color="auto"/>
          </w:divBdr>
          <w:divsChild>
            <w:div w:id="393162227">
              <w:marLeft w:val="0"/>
              <w:marRight w:val="0"/>
              <w:marTop w:val="0"/>
              <w:marBottom w:val="0"/>
              <w:divBdr>
                <w:top w:val="none" w:sz="0" w:space="0" w:color="auto"/>
                <w:left w:val="none" w:sz="0" w:space="0" w:color="auto"/>
                <w:bottom w:val="none" w:sz="0" w:space="0" w:color="auto"/>
                <w:right w:val="none" w:sz="0" w:space="0" w:color="auto"/>
              </w:divBdr>
            </w:div>
            <w:div w:id="525795682">
              <w:marLeft w:val="0"/>
              <w:marRight w:val="0"/>
              <w:marTop w:val="0"/>
              <w:marBottom w:val="0"/>
              <w:divBdr>
                <w:top w:val="none" w:sz="0" w:space="0" w:color="auto"/>
                <w:left w:val="none" w:sz="0" w:space="0" w:color="auto"/>
                <w:bottom w:val="none" w:sz="0" w:space="0" w:color="auto"/>
                <w:right w:val="none" w:sz="0" w:space="0" w:color="auto"/>
              </w:divBdr>
            </w:div>
            <w:div w:id="1047222432">
              <w:marLeft w:val="0"/>
              <w:marRight w:val="0"/>
              <w:marTop w:val="0"/>
              <w:marBottom w:val="0"/>
              <w:divBdr>
                <w:top w:val="none" w:sz="0" w:space="0" w:color="auto"/>
                <w:left w:val="none" w:sz="0" w:space="0" w:color="auto"/>
                <w:bottom w:val="none" w:sz="0" w:space="0" w:color="auto"/>
                <w:right w:val="none" w:sz="0" w:space="0" w:color="auto"/>
              </w:divBdr>
            </w:div>
            <w:div w:id="1405446060">
              <w:marLeft w:val="0"/>
              <w:marRight w:val="0"/>
              <w:marTop w:val="0"/>
              <w:marBottom w:val="0"/>
              <w:divBdr>
                <w:top w:val="none" w:sz="0" w:space="0" w:color="auto"/>
                <w:left w:val="none" w:sz="0" w:space="0" w:color="auto"/>
                <w:bottom w:val="none" w:sz="0" w:space="0" w:color="auto"/>
                <w:right w:val="none" w:sz="0" w:space="0" w:color="auto"/>
              </w:divBdr>
            </w:div>
            <w:div w:id="1508255770">
              <w:marLeft w:val="0"/>
              <w:marRight w:val="0"/>
              <w:marTop w:val="0"/>
              <w:marBottom w:val="0"/>
              <w:divBdr>
                <w:top w:val="none" w:sz="0" w:space="0" w:color="auto"/>
                <w:left w:val="none" w:sz="0" w:space="0" w:color="auto"/>
                <w:bottom w:val="none" w:sz="0" w:space="0" w:color="auto"/>
                <w:right w:val="none" w:sz="0" w:space="0" w:color="auto"/>
              </w:divBdr>
            </w:div>
            <w:div w:id="2100835235">
              <w:marLeft w:val="0"/>
              <w:marRight w:val="0"/>
              <w:marTop w:val="0"/>
              <w:marBottom w:val="0"/>
              <w:divBdr>
                <w:top w:val="none" w:sz="0" w:space="0" w:color="auto"/>
                <w:left w:val="none" w:sz="0" w:space="0" w:color="auto"/>
                <w:bottom w:val="none" w:sz="0" w:space="0" w:color="auto"/>
                <w:right w:val="none" w:sz="0" w:space="0" w:color="auto"/>
              </w:divBdr>
            </w:div>
            <w:div w:id="21146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10834">
      <w:bodyDiv w:val="1"/>
      <w:marLeft w:val="0"/>
      <w:marRight w:val="0"/>
      <w:marTop w:val="0"/>
      <w:marBottom w:val="0"/>
      <w:divBdr>
        <w:top w:val="none" w:sz="0" w:space="0" w:color="auto"/>
        <w:left w:val="none" w:sz="0" w:space="0" w:color="auto"/>
        <w:bottom w:val="none" w:sz="0" w:space="0" w:color="auto"/>
        <w:right w:val="none" w:sz="0" w:space="0" w:color="auto"/>
      </w:divBdr>
    </w:div>
    <w:div w:id="677076066">
      <w:bodyDiv w:val="1"/>
      <w:marLeft w:val="0"/>
      <w:marRight w:val="0"/>
      <w:marTop w:val="0"/>
      <w:marBottom w:val="0"/>
      <w:divBdr>
        <w:top w:val="none" w:sz="0" w:space="0" w:color="auto"/>
        <w:left w:val="none" w:sz="0" w:space="0" w:color="auto"/>
        <w:bottom w:val="none" w:sz="0" w:space="0" w:color="auto"/>
        <w:right w:val="none" w:sz="0" w:space="0" w:color="auto"/>
      </w:divBdr>
    </w:div>
    <w:div w:id="677464443">
      <w:bodyDiv w:val="1"/>
      <w:marLeft w:val="0"/>
      <w:marRight w:val="0"/>
      <w:marTop w:val="0"/>
      <w:marBottom w:val="0"/>
      <w:divBdr>
        <w:top w:val="none" w:sz="0" w:space="0" w:color="auto"/>
        <w:left w:val="none" w:sz="0" w:space="0" w:color="auto"/>
        <w:bottom w:val="none" w:sz="0" w:space="0" w:color="auto"/>
        <w:right w:val="none" w:sz="0" w:space="0" w:color="auto"/>
      </w:divBdr>
    </w:div>
    <w:div w:id="706300397">
      <w:bodyDiv w:val="1"/>
      <w:marLeft w:val="0"/>
      <w:marRight w:val="0"/>
      <w:marTop w:val="0"/>
      <w:marBottom w:val="0"/>
      <w:divBdr>
        <w:top w:val="none" w:sz="0" w:space="0" w:color="auto"/>
        <w:left w:val="none" w:sz="0" w:space="0" w:color="auto"/>
        <w:bottom w:val="none" w:sz="0" w:space="0" w:color="auto"/>
        <w:right w:val="none" w:sz="0" w:space="0" w:color="auto"/>
      </w:divBdr>
    </w:div>
    <w:div w:id="731850835">
      <w:bodyDiv w:val="1"/>
      <w:marLeft w:val="0"/>
      <w:marRight w:val="0"/>
      <w:marTop w:val="0"/>
      <w:marBottom w:val="0"/>
      <w:divBdr>
        <w:top w:val="none" w:sz="0" w:space="0" w:color="auto"/>
        <w:left w:val="none" w:sz="0" w:space="0" w:color="auto"/>
        <w:bottom w:val="none" w:sz="0" w:space="0" w:color="auto"/>
        <w:right w:val="none" w:sz="0" w:space="0" w:color="auto"/>
      </w:divBdr>
    </w:div>
    <w:div w:id="788815549">
      <w:bodyDiv w:val="1"/>
      <w:marLeft w:val="0"/>
      <w:marRight w:val="0"/>
      <w:marTop w:val="0"/>
      <w:marBottom w:val="0"/>
      <w:divBdr>
        <w:top w:val="none" w:sz="0" w:space="0" w:color="auto"/>
        <w:left w:val="none" w:sz="0" w:space="0" w:color="auto"/>
        <w:bottom w:val="none" w:sz="0" w:space="0" w:color="auto"/>
        <w:right w:val="none" w:sz="0" w:space="0" w:color="auto"/>
      </w:divBdr>
    </w:div>
    <w:div w:id="795759130">
      <w:bodyDiv w:val="1"/>
      <w:marLeft w:val="0"/>
      <w:marRight w:val="0"/>
      <w:marTop w:val="0"/>
      <w:marBottom w:val="0"/>
      <w:divBdr>
        <w:top w:val="none" w:sz="0" w:space="0" w:color="auto"/>
        <w:left w:val="none" w:sz="0" w:space="0" w:color="auto"/>
        <w:bottom w:val="none" w:sz="0" w:space="0" w:color="auto"/>
        <w:right w:val="none" w:sz="0" w:space="0" w:color="auto"/>
      </w:divBdr>
    </w:div>
    <w:div w:id="840510102">
      <w:bodyDiv w:val="1"/>
      <w:marLeft w:val="0"/>
      <w:marRight w:val="0"/>
      <w:marTop w:val="0"/>
      <w:marBottom w:val="0"/>
      <w:divBdr>
        <w:top w:val="none" w:sz="0" w:space="0" w:color="auto"/>
        <w:left w:val="none" w:sz="0" w:space="0" w:color="auto"/>
        <w:bottom w:val="none" w:sz="0" w:space="0" w:color="auto"/>
        <w:right w:val="none" w:sz="0" w:space="0" w:color="auto"/>
      </w:divBdr>
    </w:div>
    <w:div w:id="851802853">
      <w:bodyDiv w:val="1"/>
      <w:marLeft w:val="0"/>
      <w:marRight w:val="0"/>
      <w:marTop w:val="0"/>
      <w:marBottom w:val="0"/>
      <w:divBdr>
        <w:top w:val="none" w:sz="0" w:space="0" w:color="auto"/>
        <w:left w:val="none" w:sz="0" w:space="0" w:color="auto"/>
        <w:bottom w:val="none" w:sz="0" w:space="0" w:color="auto"/>
        <w:right w:val="none" w:sz="0" w:space="0" w:color="auto"/>
      </w:divBdr>
    </w:div>
    <w:div w:id="862936671">
      <w:bodyDiv w:val="1"/>
      <w:marLeft w:val="0"/>
      <w:marRight w:val="0"/>
      <w:marTop w:val="0"/>
      <w:marBottom w:val="0"/>
      <w:divBdr>
        <w:top w:val="none" w:sz="0" w:space="0" w:color="auto"/>
        <w:left w:val="none" w:sz="0" w:space="0" w:color="auto"/>
        <w:bottom w:val="none" w:sz="0" w:space="0" w:color="auto"/>
        <w:right w:val="none" w:sz="0" w:space="0" w:color="auto"/>
      </w:divBdr>
    </w:div>
    <w:div w:id="885213712">
      <w:bodyDiv w:val="1"/>
      <w:marLeft w:val="0"/>
      <w:marRight w:val="0"/>
      <w:marTop w:val="0"/>
      <w:marBottom w:val="0"/>
      <w:divBdr>
        <w:top w:val="none" w:sz="0" w:space="0" w:color="auto"/>
        <w:left w:val="none" w:sz="0" w:space="0" w:color="auto"/>
        <w:bottom w:val="none" w:sz="0" w:space="0" w:color="auto"/>
        <w:right w:val="none" w:sz="0" w:space="0" w:color="auto"/>
      </w:divBdr>
    </w:div>
    <w:div w:id="938097455">
      <w:bodyDiv w:val="1"/>
      <w:marLeft w:val="0"/>
      <w:marRight w:val="0"/>
      <w:marTop w:val="0"/>
      <w:marBottom w:val="0"/>
      <w:divBdr>
        <w:top w:val="none" w:sz="0" w:space="0" w:color="auto"/>
        <w:left w:val="none" w:sz="0" w:space="0" w:color="auto"/>
        <w:bottom w:val="none" w:sz="0" w:space="0" w:color="auto"/>
        <w:right w:val="none" w:sz="0" w:space="0" w:color="auto"/>
      </w:divBdr>
    </w:div>
    <w:div w:id="942108072">
      <w:bodyDiv w:val="1"/>
      <w:marLeft w:val="0"/>
      <w:marRight w:val="0"/>
      <w:marTop w:val="0"/>
      <w:marBottom w:val="0"/>
      <w:divBdr>
        <w:top w:val="none" w:sz="0" w:space="0" w:color="auto"/>
        <w:left w:val="none" w:sz="0" w:space="0" w:color="auto"/>
        <w:bottom w:val="none" w:sz="0" w:space="0" w:color="auto"/>
        <w:right w:val="none" w:sz="0" w:space="0" w:color="auto"/>
      </w:divBdr>
    </w:div>
    <w:div w:id="1006788746">
      <w:bodyDiv w:val="1"/>
      <w:marLeft w:val="0"/>
      <w:marRight w:val="0"/>
      <w:marTop w:val="0"/>
      <w:marBottom w:val="0"/>
      <w:divBdr>
        <w:top w:val="none" w:sz="0" w:space="0" w:color="auto"/>
        <w:left w:val="none" w:sz="0" w:space="0" w:color="auto"/>
        <w:bottom w:val="none" w:sz="0" w:space="0" w:color="auto"/>
        <w:right w:val="none" w:sz="0" w:space="0" w:color="auto"/>
      </w:divBdr>
    </w:div>
    <w:div w:id="1024327776">
      <w:bodyDiv w:val="1"/>
      <w:marLeft w:val="0"/>
      <w:marRight w:val="0"/>
      <w:marTop w:val="0"/>
      <w:marBottom w:val="0"/>
      <w:divBdr>
        <w:top w:val="none" w:sz="0" w:space="0" w:color="auto"/>
        <w:left w:val="none" w:sz="0" w:space="0" w:color="auto"/>
        <w:bottom w:val="none" w:sz="0" w:space="0" w:color="auto"/>
        <w:right w:val="none" w:sz="0" w:space="0" w:color="auto"/>
      </w:divBdr>
    </w:div>
    <w:div w:id="1032149075">
      <w:bodyDiv w:val="1"/>
      <w:marLeft w:val="0"/>
      <w:marRight w:val="0"/>
      <w:marTop w:val="0"/>
      <w:marBottom w:val="0"/>
      <w:divBdr>
        <w:top w:val="none" w:sz="0" w:space="0" w:color="auto"/>
        <w:left w:val="none" w:sz="0" w:space="0" w:color="auto"/>
        <w:bottom w:val="none" w:sz="0" w:space="0" w:color="auto"/>
        <w:right w:val="none" w:sz="0" w:space="0" w:color="auto"/>
      </w:divBdr>
    </w:div>
    <w:div w:id="1049452336">
      <w:bodyDiv w:val="1"/>
      <w:marLeft w:val="0"/>
      <w:marRight w:val="0"/>
      <w:marTop w:val="0"/>
      <w:marBottom w:val="0"/>
      <w:divBdr>
        <w:top w:val="none" w:sz="0" w:space="0" w:color="auto"/>
        <w:left w:val="none" w:sz="0" w:space="0" w:color="auto"/>
        <w:bottom w:val="none" w:sz="0" w:space="0" w:color="auto"/>
        <w:right w:val="none" w:sz="0" w:space="0" w:color="auto"/>
      </w:divBdr>
    </w:div>
    <w:div w:id="1053775917">
      <w:bodyDiv w:val="1"/>
      <w:marLeft w:val="0"/>
      <w:marRight w:val="0"/>
      <w:marTop w:val="0"/>
      <w:marBottom w:val="0"/>
      <w:divBdr>
        <w:top w:val="none" w:sz="0" w:space="0" w:color="auto"/>
        <w:left w:val="none" w:sz="0" w:space="0" w:color="auto"/>
        <w:bottom w:val="none" w:sz="0" w:space="0" w:color="auto"/>
        <w:right w:val="none" w:sz="0" w:space="0" w:color="auto"/>
      </w:divBdr>
    </w:div>
    <w:div w:id="1139762723">
      <w:bodyDiv w:val="1"/>
      <w:marLeft w:val="0"/>
      <w:marRight w:val="0"/>
      <w:marTop w:val="0"/>
      <w:marBottom w:val="0"/>
      <w:divBdr>
        <w:top w:val="none" w:sz="0" w:space="0" w:color="auto"/>
        <w:left w:val="none" w:sz="0" w:space="0" w:color="auto"/>
        <w:bottom w:val="none" w:sz="0" w:space="0" w:color="auto"/>
        <w:right w:val="none" w:sz="0" w:space="0" w:color="auto"/>
      </w:divBdr>
    </w:div>
    <w:div w:id="1164515919">
      <w:bodyDiv w:val="1"/>
      <w:marLeft w:val="0"/>
      <w:marRight w:val="0"/>
      <w:marTop w:val="0"/>
      <w:marBottom w:val="0"/>
      <w:divBdr>
        <w:top w:val="none" w:sz="0" w:space="0" w:color="auto"/>
        <w:left w:val="none" w:sz="0" w:space="0" w:color="auto"/>
        <w:bottom w:val="none" w:sz="0" w:space="0" w:color="auto"/>
        <w:right w:val="none" w:sz="0" w:space="0" w:color="auto"/>
      </w:divBdr>
    </w:div>
    <w:div w:id="1164930837">
      <w:bodyDiv w:val="1"/>
      <w:marLeft w:val="0"/>
      <w:marRight w:val="0"/>
      <w:marTop w:val="0"/>
      <w:marBottom w:val="0"/>
      <w:divBdr>
        <w:top w:val="none" w:sz="0" w:space="0" w:color="auto"/>
        <w:left w:val="none" w:sz="0" w:space="0" w:color="auto"/>
        <w:bottom w:val="none" w:sz="0" w:space="0" w:color="auto"/>
        <w:right w:val="none" w:sz="0" w:space="0" w:color="auto"/>
      </w:divBdr>
    </w:div>
    <w:div w:id="1198548475">
      <w:bodyDiv w:val="1"/>
      <w:marLeft w:val="0"/>
      <w:marRight w:val="0"/>
      <w:marTop w:val="0"/>
      <w:marBottom w:val="0"/>
      <w:divBdr>
        <w:top w:val="none" w:sz="0" w:space="0" w:color="auto"/>
        <w:left w:val="none" w:sz="0" w:space="0" w:color="auto"/>
        <w:bottom w:val="none" w:sz="0" w:space="0" w:color="auto"/>
        <w:right w:val="none" w:sz="0" w:space="0" w:color="auto"/>
      </w:divBdr>
    </w:div>
    <w:div w:id="1204177810">
      <w:bodyDiv w:val="1"/>
      <w:marLeft w:val="0"/>
      <w:marRight w:val="0"/>
      <w:marTop w:val="0"/>
      <w:marBottom w:val="0"/>
      <w:divBdr>
        <w:top w:val="none" w:sz="0" w:space="0" w:color="auto"/>
        <w:left w:val="none" w:sz="0" w:space="0" w:color="auto"/>
        <w:bottom w:val="none" w:sz="0" w:space="0" w:color="auto"/>
        <w:right w:val="none" w:sz="0" w:space="0" w:color="auto"/>
      </w:divBdr>
    </w:div>
    <w:div w:id="1212182677">
      <w:bodyDiv w:val="1"/>
      <w:marLeft w:val="0"/>
      <w:marRight w:val="0"/>
      <w:marTop w:val="0"/>
      <w:marBottom w:val="0"/>
      <w:divBdr>
        <w:top w:val="none" w:sz="0" w:space="0" w:color="auto"/>
        <w:left w:val="none" w:sz="0" w:space="0" w:color="auto"/>
        <w:bottom w:val="none" w:sz="0" w:space="0" w:color="auto"/>
        <w:right w:val="none" w:sz="0" w:space="0" w:color="auto"/>
      </w:divBdr>
    </w:div>
    <w:div w:id="1272394809">
      <w:bodyDiv w:val="1"/>
      <w:marLeft w:val="0"/>
      <w:marRight w:val="0"/>
      <w:marTop w:val="0"/>
      <w:marBottom w:val="0"/>
      <w:divBdr>
        <w:top w:val="none" w:sz="0" w:space="0" w:color="auto"/>
        <w:left w:val="none" w:sz="0" w:space="0" w:color="auto"/>
        <w:bottom w:val="none" w:sz="0" w:space="0" w:color="auto"/>
        <w:right w:val="none" w:sz="0" w:space="0" w:color="auto"/>
      </w:divBdr>
    </w:div>
    <w:div w:id="1280456427">
      <w:bodyDiv w:val="1"/>
      <w:marLeft w:val="0"/>
      <w:marRight w:val="0"/>
      <w:marTop w:val="0"/>
      <w:marBottom w:val="0"/>
      <w:divBdr>
        <w:top w:val="none" w:sz="0" w:space="0" w:color="auto"/>
        <w:left w:val="none" w:sz="0" w:space="0" w:color="auto"/>
        <w:bottom w:val="none" w:sz="0" w:space="0" w:color="auto"/>
        <w:right w:val="none" w:sz="0" w:space="0" w:color="auto"/>
      </w:divBdr>
    </w:div>
    <w:div w:id="1290087200">
      <w:bodyDiv w:val="1"/>
      <w:marLeft w:val="0"/>
      <w:marRight w:val="0"/>
      <w:marTop w:val="0"/>
      <w:marBottom w:val="0"/>
      <w:divBdr>
        <w:top w:val="none" w:sz="0" w:space="0" w:color="auto"/>
        <w:left w:val="none" w:sz="0" w:space="0" w:color="auto"/>
        <w:bottom w:val="none" w:sz="0" w:space="0" w:color="auto"/>
        <w:right w:val="none" w:sz="0" w:space="0" w:color="auto"/>
      </w:divBdr>
    </w:div>
    <w:div w:id="1308852066">
      <w:bodyDiv w:val="1"/>
      <w:marLeft w:val="0"/>
      <w:marRight w:val="0"/>
      <w:marTop w:val="0"/>
      <w:marBottom w:val="0"/>
      <w:divBdr>
        <w:top w:val="none" w:sz="0" w:space="0" w:color="auto"/>
        <w:left w:val="none" w:sz="0" w:space="0" w:color="auto"/>
        <w:bottom w:val="none" w:sz="0" w:space="0" w:color="auto"/>
        <w:right w:val="none" w:sz="0" w:space="0" w:color="auto"/>
      </w:divBdr>
    </w:div>
    <w:div w:id="1316422338">
      <w:bodyDiv w:val="1"/>
      <w:marLeft w:val="0"/>
      <w:marRight w:val="0"/>
      <w:marTop w:val="0"/>
      <w:marBottom w:val="0"/>
      <w:divBdr>
        <w:top w:val="none" w:sz="0" w:space="0" w:color="auto"/>
        <w:left w:val="none" w:sz="0" w:space="0" w:color="auto"/>
        <w:bottom w:val="none" w:sz="0" w:space="0" w:color="auto"/>
        <w:right w:val="none" w:sz="0" w:space="0" w:color="auto"/>
      </w:divBdr>
    </w:div>
    <w:div w:id="1327974706">
      <w:bodyDiv w:val="1"/>
      <w:marLeft w:val="0"/>
      <w:marRight w:val="0"/>
      <w:marTop w:val="0"/>
      <w:marBottom w:val="0"/>
      <w:divBdr>
        <w:top w:val="none" w:sz="0" w:space="0" w:color="auto"/>
        <w:left w:val="none" w:sz="0" w:space="0" w:color="auto"/>
        <w:bottom w:val="none" w:sz="0" w:space="0" w:color="auto"/>
        <w:right w:val="none" w:sz="0" w:space="0" w:color="auto"/>
      </w:divBdr>
    </w:div>
    <w:div w:id="1418018698">
      <w:bodyDiv w:val="1"/>
      <w:marLeft w:val="0"/>
      <w:marRight w:val="0"/>
      <w:marTop w:val="0"/>
      <w:marBottom w:val="0"/>
      <w:divBdr>
        <w:top w:val="none" w:sz="0" w:space="0" w:color="auto"/>
        <w:left w:val="none" w:sz="0" w:space="0" w:color="auto"/>
        <w:bottom w:val="none" w:sz="0" w:space="0" w:color="auto"/>
        <w:right w:val="none" w:sz="0" w:space="0" w:color="auto"/>
      </w:divBdr>
    </w:div>
    <w:div w:id="1418794259">
      <w:bodyDiv w:val="1"/>
      <w:marLeft w:val="0"/>
      <w:marRight w:val="0"/>
      <w:marTop w:val="0"/>
      <w:marBottom w:val="0"/>
      <w:divBdr>
        <w:top w:val="none" w:sz="0" w:space="0" w:color="auto"/>
        <w:left w:val="none" w:sz="0" w:space="0" w:color="auto"/>
        <w:bottom w:val="none" w:sz="0" w:space="0" w:color="auto"/>
        <w:right w:val="none" w:sz="0" w:space="0" w:color="auto"/>
      </w:divBdr>
    </w:div>
    <w:div w:id="1426655380">
      <w:bodyDiv w:val="1"/>
      <w:marLeft w:val="0"/>
      <w:marRight w:val="0"/>
      <w:marTop w:val="0"/>
      <w:marBottom w:val="0"/>
      <w:divBdr>
        <w:top w:val="none" w:sz="0" w:space="0" w:color="auto"/>
        <w:left w:val="none" w:sz="0" w:space="0" w:color="auto"/>
        <w:bottom w:val="none" w:sz="0" w:space="0" w:color="auto"/>
        <w:right w:val="none" w:sz="0" w:space="0" w:color="auto"/>
      </w:divBdr>
    </w:div>
    <w:div w:id="1473056901">
      <w:bodyDiv w:val="1"/>
      <w:marLeft w:val="0"/>
      <w:marRight w:val="0"/>
      <w:marTop w:val="0"/>
      <w:marBottom w:val="0"/>
      <w:divBdr>
        <w:top w:val="none" w:sz="0" w:space="0" w:color="auto"/>
        <w:left w:val="none" w:sz="0" w:space="0" w:color="auto"/>
        <w:bottom w:val="none" w:sz="0" w:space="0" w:color="auto"/>
        <w:right w:val="none" w:sz="0" w:space="0" w:color="auto"/>
      </w:divBdr>
      <w:divsChild>
        <w:div w:id="2000814693">
          <w:marLeft w:val="0"/>
          <w:marRight w:val="0"/>
          <w:marTop w:val="0"/>
          <w:marBottom w:val="0"/>
          <w:divBdr>
            <w:top w:val="none" w:sz="0" w:space="0" w:color="auto"/>
            <w:left w:val="none" w:sz="0" w:space="0" w:color="auto"/>
            <w:bottom w:val="none" w:sz="0" w:space="0" w:color="auto"/>
            <w:right w:val="none" w:sz="0" w:space="0" w:color="auto"/>
          </w:divBdr>
          <w:divsChild>
            <w:div w:id="24987496">
              <w:marLeft w:val="0"/>
              <w:marRight w:val="0"/>
              <w:marTop w:val="0"/>
              <w:marBottom w:val="0"/>
              <w:divBdr>
                <w:top w:val="none" w:sz="0" w:space="0" w:color="auto"/>
                <w:left w:val="none" w:sz="0" w:space="0" w:color="auto"/>
                <w:bottom w:val="none" w:sz="0" w:space="0" w:color="auto"/>
                <w:right w:val="none" w:sz="0" w:space="0" w:color="auto"/>
              </w:divBdr>
            </w:div>
            <w:div w:id="873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3800">
      <w:bodyDiv w:val="1"/>
      <w:marLeft w:val="0"/>
      <w:marRight w:val="0"/>
      <w:marTop w:val="0"/>
      <w:marBottom w:val="0"/>
      <w:divBdr>
        <w:top w:val="none" w:sz="0" w:space="0" w:color="auto"/>
        <w:left w:val="none" w:sz="0" w:space="0" w:color="auto"/>
        <w:bottom w:val="none" w:sz="0" w:space="0" w:color="auto"/>
        <w:right w:val="none" w:sz="0" w:space="0" w:color="auto"/>
      </w:divBdr>
    </w:div>
    <w:div w:id="1555312719">
      <w:bodyDiv w:val="1"/>
      <w:marLeft w:val="0"/>
      <w:marRight w:val="0"/>
      <w:marTop w:val="0"/>
      <w:marBottom w:val="0"/>
      <w:divBdr>
        <w:top w:val="none" w:sz="0" w:space="0" w:color="auto"/>
        <w:left w:val="none" w:sz="0" w:space="0" w:color="auto"/>
        <w:bottom w:val="none" w:sz="0" w:space="0" w:color="auto"/>
        <w:right w:val="none" w:sz="0" w:space="0" w:color="auto"/>
      </w:divBdr>
    </w:div>
    <w:div w:id="1571774261">
      <w:bodyDiv w:val="1"/>
      <w:marLeft w:val="0"/>
      <w:marRight w:val="0"/>
      <w:marTop w:val="0"/>
      <w:marBottom w:val="0"/>
      <w:divBdr>
        <w:top w:val="none" w:sz="0" w:space="0" w:color="auto"/>
        <w:left w:val="none" w:sz="0" w:space="0" w:color="auto"/>
        <w:bottom w:val="none" w:sz="0" w:space="0" w:color="auto"/>
        <w:right w:val="none" w:sz="0" w:space="0" w:color="auto"/>
      </w:divBdr>
    </w:div>
    <w:div w:id="1584752920">
      <w:bodyDiv w:val="1"/>
      <w:marLeft w:val="0"/>
      <w:marRight w:val="0"/>
      <w:marTop w:val="0"/>
      <w:marBottom w:val="0"/>
      <w:divBdr>
        <w:top w:val="none" w:sz="0" w:space="0" w:color="auto"/>
        <w:left w:val="none" w:sz="0" w:space="0" w:color="auto"/>
        <w:bottom w:val="none" w:sz="0" w:space="0" w:color="auto"/>
        <w:right w:val="none" w:sz="0" w:space="0" w:color="auto"/>
      </w:divBdr>
    </w:div>
    <w:div w:id="1612661425">
      <w:bodyDiv w:val="1"/>
      <w:marLeft w:val="0"/>
      <w:marRight w:val="0"/>
      <w:marTop w:val="0"/>
      <w:marBottom w:val="0"/>
      <w:divBdr>
        <w:top w:val="none" w:sz="0" w:space="0" w:color="auto"/>
        <w:left w:val="none" w:sz="0" w:space="0" w:color="auto"/>
        <w:bottom w:val="none" w:sz="0" w:space="0" w:color="auto"/>
        <w:right w:val="none" w:sz="0" w:space="0" w:color="auto"/>
      </w:divBdr>
    </w:div>
    <w:div w:id="1638140695">
      <w:bodyDiv w:val="1"/>
      <w:marLeft w:val="0"/>
      <w:marRight w:val="0"/>
      <w:marTop w:val="0"/>
      <w:marBottom w:val="0"/>
      <w:divBdr>
        <w:top w:val="none" w:sz="0" w:space="0" w:color="auto"/>
        <w:left w:val="none" w:sz="0" w:space="0" w:color="auto"/>
        <w:bottom w:val="none" w:sz="0" w:space="0" w:color="auto"/>
        <w:right w:val="none" w:sz="0" w:space="0" w:color="auto"/>
      </w:divBdr>
    </w:div>
    <w:div w:id="1664963729">
      <w:bodyDiv w:val="1"/>
      <w:marLeft w:val="0"/>
      <w:marRight w:val="0"/>
      <w:marTop w:val="0"/>
      <w:marBottom w:val="0"/>
      <w:divBdr>
        <w:top w:val="none" w:sz="0" w:space="0" w:color="auto"/>
        <w:left w:val="none" w:sz="0" w:space="0" w:color="auto"/>
        <w:bottom w:val="none" w:sz="0" w:space="0" w:color="auto"/>
        <w:right w:val="none" w:sz="0" w:space="0" w:color="auto"/>
      </w:divBdr>
    </w:div>
    <w:div w:id="1672487352">
      <w:bodyDiv w:val="1"/>
      <w:marLeft w:val="0"/>
      <w:marRight w:val="0"/>
      <w:marTop w:val="0"/>
      <w:marBottom w:val="0"/>
      <w:divBdr>
        <w:top w:val="none" w:sz="0" w:space="0" w:color="auto"/>
        <w:left w:val="none" w:sz="0" w:space="0" w:color="auto"/>
        <w:bottom w:val="none" w:sz="0" w:space="0" w:color="auto"/>
        <w:right w:val="none" w:sz="0" w:space="0" w:color="auto"/>
      </w:divBdr>
    </w:div>
    <w:div w:id="1683513827">
      <w:bodyDiv w:val="1"/>
      <w:marLeft w:val="0"/>
      <w:marRight w:val="0"/>
      <w:marTop w:val="0"/>
      <w:marBottom w:val="0"/>
      <w:divBdr>
        <w:top w:val="none" w:sz="0" w:space="0" w:color="auto"/>
        <w:left w:val="none" w:sz="0" w:space="0" w:color="auto"/>
        <w:bottom w:val="none" w:sz="0" w:space="0" w:color="auto"/>
        <w:right w:val="none" w:sz="0" w:space="0" w:color="auto"/>
      </w:divBdr>
    </w:div>
    <w:div w:id="1698119194">
      <w:bodyDiv w:val="1"/>
      <w:marLeft w:val="0"/>
      <w:marRight w:val="0"/>
      <w:marTop w:val="0"/>
      <w:marBottom w:val="0"/>
      <w:divBdr>
        <w:top w:val="none" w:sz="0" w:space="0" w:color="auto"/>
        <w:left w:val="none" w:sz="0" w:space="0" w:color="auto"/>
        <w:bottom w:val="none" w:sz="0" w:space="0" w:color="auto"/>
        <w:right w:val="none" w:sz="0" w:space="0" w:color="auto"/>
      </w:divBdr>
    </w:div>
    <w:div w:id="1725369603">
      <w:bodyDiv w:val="1"/>
      <w:marLeft w:val="0"/>
      <w:marRight w:val="0"/>
      <w:marTop w:val="0"/>
      <w:marBottom w:val="0"/>
      <w:divBdr>
        <w:top w:val="none" w:sz="0" w:space="0" w:color="auto"/>
        <w:left w:val="none" w:sz="0" w:space="0" w:color="auto"/>
        <w:bottom w:val="none" w:sz="0" w:space="0" w:color="auto"/>
        <w:right w:val="none" w:sz="0" w:space="0" w:color="auto"/>
      </w:divBdr>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
    <w:div w:id="1811290225">
      <w:bodyDiv w:val="1"/>
      <w:marLeft w:val="0"/>
      <w:marRight w:val="0"/>
      <w:marTop w:val="0"/>
      <w:marBottom w:val="0"/>
      <w:divBdr>
        <w:top w:val="none" w:sz="0" w:space="0" w:color="auto"/>
        <w:left w:val="none" w:sz="0" w:space="0" w:color="auto"/>
        <w:bottom w:val="none" w:sz="0" w:space="0" w:color="auto"/>
        <w:right w:val="none" w:sz="0" w:space="0" w:color="auto"/>
      </w:divBdr>
    </w:div>
    <w:div w:id="1864786277">
      <w:bodyDiv w:val="1"/>
      <w:marLeft w:val="0"/>
      <w:marRight w:val="0"/>
      <w:marTop w:val="0"/>
      <w:marBottom w:val="0"/>
      <w:divBdr>
        <w:top w:val="none" w:sz="0" w:space="0" w:color="auto"/>
        <w:left w:val="none" w:sz="0" w:space="0" w:color="auto"/>
        <w:bottom w:val="none" w:sz="0" w:space="0" w:color="auto"/>
        <w:right w:val="none" w:sz="0" w:space="0" w:color="auto"/>
      </w:divBdr>
    </w:div>
    <w:div w:id="1911884275">
      <w:bodyDiv w:val="1"/>
      <w:marLeft w:val="0"/>
      <w:marRight w:val="0"/>
      <w:marTop w:val="0"/>
      <w:marBottom w:val="0"/>
      <w:divBdr>
        <w:top w:val="none" w:sz="0" w:space="0" w:color="auto"/>
        <w:left w:val="none" w:sz="0" w:space="0" w:color="auto"/>
        <w:bottom w:val="none" w:sz="0" w:space="0" w:color="auto"/>
        <w:right w:val="none" w:sz="0" w:space="0" w:color="auto"/>
      </w:divBdr>
      <w:divsChild>
        <w:div w:id="1509099587">
          <w:marLeft w:val="0"/>
          <w:marRight w:val="0"/>
          <w:marTop w:val="0"/>
          <w:marBottom w:val="0"/>
          <w:divBdr>
            <w:top w:val="none" w:sz="0" w:space="0" w:color="auto"/>
            <w:left w:val="none" w:sz="0" w:space="0" w:color="auto"/>
            <w:bottom w:val="none" w:sz="0" w:space="0" w:color="auto"/>
            <w:right w:val="none" w:sz="0" w:space="0" w:color="auto"/>
          </w:divBdr>
          <w:divsChild>
            <w:div w:id="1536890577">
              <w:marLeft w:val="0"/>
              <w:marRight w:val="0"/>
              <w:marTop w:val="0"/>
              <w:marBottom w:val="0"/>
              <w:divBdr>
                <w:top w:val="none" w:sz="0" w:space="0" w:color="auto"/>
                <w:left w:val="none" w:sz="0" w:space="0" w:color="auto"/>
                <w:bottom w:val="none" w:sz="0" w:space="0" w:color="auto"/>
                <w:right w:val="none" w:sz="0" w:space="0" w:color="auto"/>
              </w:divBdr>
              <w:divsChild>
                <w:div w:id="1321498424">
                  <w:marLeft w:val="0"/>
                  <w:marRight w:val="0"/>
                  <w:marTop w:val="0"/>
                  <w:marBottom w:val="0"/>
                  <w:divBdr>
                    <w:top w:val="none" w:sz="0" w:space="0" w:color="auto"/>
                    <w:left w:val="none" w:sz="0" w:space="0" w:color="auto"/>
                    <w:bottom w:val="none" w:sz="0" w:space="0" w:color="auto"/>
                    <w:right w:val="none" w:sz="0" w:space="0" w:color="auto"/>
                  </w:divBdr>
                  <w:divsChild>
                    <w:div w:id="1061517676">
                      <w:marLeft w:val="0"/>
                      <w:marRight w:val="0"/>
                      <w:marTop w:val="0"/>
                      <w:marBottom w:val="0"/>
                      <w:divBdr>
                        <w:top w:val="none" w:sz="0" w:space="0" w:color="auto"/>
                        <w:left w:val="none" w:sz="0" w:space="0" w:color="auto"/>
                        <w:bottom w:val="none" w:sz="0" w:space="0" w:color="auto"/>
                        <w:right w:val="none" w:sz="0" w:space="0" w:color="auto"/>
                      </w:divBdr>
                      <w:divsChild>
                        <w:div w:id="5412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196561">
      <w:bodyDiv w:val="1"/>
      <w:marLeft w:val="0"/>
      <w:marRight w:val="0"/>
      <w:marTop w:val="0"/>
      <w:marBottom w:val="0"/>
      <w:divBdr>
        <w:top w:val="none" w:sz="0" w:space="0" w:color="auto"/>
        <w:left w:val="none" w:sz="0" w:space="0" w:color="auto"/>
        <w:bottom w:val="none" w:sz="0" w:space="0" w:color="auto"/>
        <w:right w:val="none" w:sz="0" w:space="0" w:color="auto"/>
      </w:divBdr>
    </w:div>
    <w:div w:id="1950119965">
      <w:bodyDiv w:val="1"/>
      <w:marLeft w:val="0"/>
      <w:marRight w:val="0"/>
      <w:marTop w:val="0"/>
      <w:marBottom w:val="0"/>
      <w:divBdr>
        <w:top w:val="none" w:sz="0" w:space="0" w:color="auto"/>
        <w:left w:val="none" w:sz="0" w:space="0" w:color="auto"/>
        <w:bottom w:val="none" w:sz="0" w:space="0" w:color="auto"/>
        <w:right w:val="none" w:sz="0" w:space="0" w:color="auto"/>
      </w:divBdr>
    </w:div>
    <w:div w:id="1951931847">
      <w:bodyDiv w:val="1"/>
      <w:marLeft w:val="0"/>
      <w:marRight w:val="0"/>
      <w:marTop w:val="0"/>
      <w:marBottom w:val="0"/>
      <w:divBdr>
        <w:top w:val="none" w:sz="0" w:space="0" w:color="auto"/>
        <w:left w:val="none" w:sz="0" w:space="0" w:color="auto"/>
        <w:bottom w:val="none" w:sz="0" w:space="0" w:color="auto"/>
        <w:right w:val="none" w:sz="0" w:space="0" w:color="auto"/>
      </w:divBdr>
    </w:div>
    <w:div w:id="1986860412">
      <w:bodyDiv w:val="1"/>
      <w:marLeft w:val="0"/>
      <w:marRight w:val="0"/>
      <w:marTop w:val="0"/>
      <w:marBottom w:val="0"/>
      <w:divBdr>
        <w:top w:val="none" w:sz="0" w:space="0" w:color="auto"/>
        <w:left w:val="none" w:sz="0" w:space="0" w:color="auto"/>
        <w:bottom w:val="none" w:sz="0" w:space="0" w:color="auto"/>
        <w:right w:val="none" w:sz="0" w:space="0" w:color="auto"/>
      </w:divBdr>
    </w:div>
    <w:div w:id="1990207605">
      <w:bodyDiv w:val="1"/>
      <w:marLeft w:val="0"/>
      <w:marRight w:val="0"/>
      <w:marTop w:val="0"/>
      <w:marBottom w:val="0"/>
      <w:divBdr>
        <w:top w:val="none" w:sz="0" w:space="0" w:color="auto"/>
        <w:left w:val="none" w:sz="0" w:space="0" w:color="auto"/>
        <w:bottom w:val="none" w:sz="0" w:space="0" w:color="auto"/>
        <w:right w:val="none" w:sz="0" w:space="0" w:color="auto"/>
      </w:divBdr>
    </w:div>
    <w:div w:id="2010254930">
      <w:bodyDiv w:val="1"/>
      <w:marLeft w:val="0"/>
      <w:marRight w:val="0"/>
      <w:marTop w:val="0"/>
      <w:marBottom w:val="0"/>
      <w:divBdr>
        <w:top w:val="none" w:sz="0" w:space="0" w:color="auto"/>
        <w:left w:val="none" w:sz="0" w:space="0" w:color="auto"/>
        <w:bottom w:val="none" w:sz="0" w:space="0" w:color="auto"/>
        <w:right w:val="none" w:sz="0" w:space="0" w:color="auto"/>
      </w:divBdr>
    </w:div>
    <w:div w:id="2025015276">
      <w:bodyDiv w:val="1"/>
      <w:marLeft w:val="0"/>
      <w:marRight w:val="0"/>
      <w:marTop w:val="0"/>
      <w:marBottom w:val="0"/>
      <w:divBdr>
        <w:top w:val="none" w:sz="0" w:space="0" w:color="auto"/>
        <w:left w:val="none" w:sz="0" w:space="0" w:color="auto"/>
        <w:bottom w:val="none" w:sz="0" w:space="0" w:color="auto"/>
        <w:right w:val="none" w:sz="0" w:space="0" w:color="auto"/>
      </w:divBdr>
    </w:div>
    <w:div w:id="2031294558">
      <w:bodyDiv w:val="1"/>
      <w:marLeft w:val="0"/>
      <w:marRight w:val="0"/>
      <w:marTop w:val="0"/>
      <w:marBottom w:val="0"/>
      <w:divBdr>
        <w:top w:val="none" w:sz="0" w:space="0" w:color="auto"/>
        <w:left w:val="none" w:sz="0" w:space="0" w:color="auto"/>
        <w:bottom w:val="none" w:sz="0" w:space="0" w:color="auto"/>
        <w:right w:val="none" w:sz="0" w:space="0" w:color="auto"/>
      </w:divBdr>
      <w:divsChild>
        <w:div w:id="181209605">
          <w:marLeft w:val="0"/>
          <w:marRight w:val="0"/>
          <w:marTop w:val="0"/>
          <w:marBottom w:val="0"/>
          <w:divBdr>
            <w:top w:val="none" w:sz="0" w:space="0" w:color="auto"/>
            <w:left w:val="none" w:sz="0" w:space="0" w:color="auto"/>
            <w:bottom w:val="none" w:sz="0" w:space="0" w:color="auto"/>
            <w:right w:val="none" w:sz="0" w:space="0" w:color="auto"/>
          </w:divBdr>
          <w:divsChild>
            <w:div w:id="259720464">
              <w:marLeft w:val="0"/>
              <w:marRight w:val="0"/>
              <w:marTop w:val="0"/>
              <w:marBottom w:val="0"/>
              <w:divBdr>
                <w:top w:val="none" w:sz="0" w:space="0" w:color="auto"/>
                <w:left w:val="none" w:sz="0" w:space="0" w:color="auto"/>
                <w:bottom w:val="none" w:sz="0" w:space="0" w:color="auto"/>
                <w:right w:val="none" w:sz="0" w:space="0" w:color="auto"/>
              </w:divBdr>
            </w:div>
            <w:div w:id="1090197232">
              <w:marLeft w:val="0"/>
              <w:marRight w:val="0"/>
              <w:marTop w:val="0"/>
              <w:marBottom w:val="0"/>
              <w:divBdr>
                <w:top w:val="none" w:sz="0" w:space="0" w:color="auto"/>
                <w:left w:val="none" w:sz="0" w:space="0" w:color="auto"/>
                <w:bottom w:val="none" w:sz="0" w:space="0" w:color="auto"/>
                <w:right w:val="none" w:sz="0" w:space="0" w:color="auto"/>
              </w:divBdr>
            </w:div>
            <w:div w:id="12954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1642">
      <w:bodyDiv w:val="1"/>
      <w:marLeft w:val="0"/>
      <w:marRight w:val="0"/>
      <w:marTop w:val="0"/>
      <w:marBottom w:val="0"/>
      <w:divBdr>
        <w:top w:val="none" w:sz="0" w:space="0" w:color="auto"/>
        <w:left w:val="none" w:sz="0" w:space="0" w:color="auto"/>
        <w:bottom w:val="none" w:sz="0" w:space="0" w:color="auto"/>
        <w:right w:val="none" w:sz="0" w:space="0" w:color="auto"/>
      </w:divBdr>
    </w:div>
    <w:div w:id="2076470782">
      <w:bodyDiv w:val="1"/>
      <w:marLeft w:val="0"/>
      <w:marRight w:val="0"/>
      <w:marTop w:val="0"/>
      <w:marBottom w:val="0"/>
      <w:divBdr>
        <w:top w:val="none" w:sz="0" w:space="0" w:color="auto"/>
        <w:left w:val="none" w:sz="0" w:space="0" w:color="auto"/>
        <w:bottom w:val="none" w:sz="0" w:space="0" w:color="auto"/>
        <w:right w:val="none" w:sz="0" w:space="0" w:color="auto"/>
      </w:divBdr>
    </w:div>
    <w:div w:id="2115250737">
      <w:bodyDiv w:val="1"/>
      <w:marLeft w:val="0"/>
      <w:marRight w:val="0"/>
      <w:marTop w:val="0"/>
      <w:marBottom w:val="0"/>
      <w:divBdr>
        <w:top w:val="none" w:sz="0" w:space="0" w:color="auto"/>
        <w:left w:val="none" w:sz="0" w:space="0" w:color="auto"/>
        <w:bottom w:val="none" w:sz="0" w:space="0" w:color="auto"/>
        <w:right w:val="none" w:sz="0" w:space="0" w:color="auto"/>
      </w:divBdr>
    </w:div>
    <w:div w:id="21421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4F1856596104458F7199F8B3C5802C" ma:contentTypeVersion="13" ma:contentTypeDescription="Creare un nuovo documento." ma:contentTypeScope="" ma:versionID="b259fd204e90f20522d58cabbc54970d">
  <xsd:schema xmlns:xsd="http://www.w3.org/2001/XMLSchema" xmlns:xs="http://www.w3.org/2001/XMLSchema" xmlns:p="http://schemas.microsoft.com/office/2006/metadata/properties" xmlns:ns3="cfb610ed-8063-414a-8963-a13883f05b54" xmlns:ns4="b7ddb488-6371-414d-9516-bdc994ed6b8a" targetNamespace="http://schemas.microsoft.com/office/2006/metadata/properties" ma:root="true" ma:fieldsID="bb5c9f0bc0988643a9d38d131bf29d97" ns3:_="" ns4:_="">
    <xsd:import namespace="cfb610ed-8063-414a-8963-a13883f05b54"/>
    <xsd:import namespace="b7ddb488-6371-414d-9516-bdc994ed6b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610ed-8063-414a-8963-a13883f05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db488-6371-414d-9516-bdc994ed6b8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C4336-3115-4F43-B8FB-C6EAAF042967}">
  <ds:schemaRefs>
    <ds:schemaRef ds:uri="http://schemas.microsoft.com/sharepoint/v3/contenttype/forms"/>
  </ds:schemaRefs>
</ds:datastoreItem>
</file>

<file path=customXml/itemProps2.xml><?xml version="1.0" encoding="utf-8"?>
<ds:datastoreItem xmlns:ds="http://schemas.openxmlformats.org/officeDocument/2006/customXml" ds:itemID="{FF6AD7AA-B349-4C3B-B95E-35B221DE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610ed-8063-414a-8963-a13883f05b54"/>
    <ds:schemaRef ds:uri="b7ddb488-6371-414d-9516-bdc994ed6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8E52C-9BF9-484F-97C7-9D6A353506C3}">
  <ds:schemaRefs>
    <ds:schemaRef ds:uri="http://schemas.openxmlformats.org/officeDocument/2006/bibliography"/>
  </ds:schemaRefs>
</ds:datastoreItem>
</file>

<file path=customXml/itemProps4.xml><?xml version="1.0" encoding="utf-8"?>
<ds:datastoreItem xmlns:ds="http://schemas.openxmlformats.org/officeDocument/2006/customXml" ds:itemID="{0683B6F2-11B2-4481-B2CF-A8CBCF00F5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4416</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GÓP Ý DỰ THẢO 15 QUY CHẾ ĐĂNG KÝ THUỐC</vt:lpstr>
    </vt:vector>
  </TitlesOfParts>
  <Company>Schering Plough</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GÓP Ý DỰ THẢO 15 QUY CHẾ ĐĂNG KÝ THUỐC</dc:title>
  <dc:subject/>
  <dc:creator>Bich Le</dc:creator>
  <cp:keywords/>
  <cp:lastModifiedBy>Uy</cp:lastModifiedBy>
  <cp:revision>2</cp:revision>
  <cp:lastPrinted>2020-12-29T06:05:00Z</cp:lastPrinted>
  <dcterms:created xsi:type="dcterms:W3CDTF">2021-07-28T16:00:00Z</dcterms:created>
  <dcterms:modified xsi:type="dcterms:W3CDTF">2021-07-28T16:00:00Z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0ff457-2133-44b5-a8f3-957e5eb54e11_Enabled">
    <vt:lpwstr>True</vt:lpwstr>
  </property>
  <property fmtid="{D5CDD505-2E9C-101B-9397-08002B2CF9AE}" pid="3" name="MSIP_Label_a40ff457-2133-44b5-a8f3-957e5eb54e11_SiteId">
    <vt:lpwstr>66984d9a-b5aa-41d9-9cf6-12cbc4d18e7b</vt:lpwstr>
  </property>
  <property fmtid="{D5CDD505-2E9C-101B-9397-08002B2CF9AE}" pid="4" name="MSIP_Label_a40ff457-2133-44b5-a8f3-957e5eb54e11_Owner">
    <vt:lpwstr>Nguyet.TruongThiAnh@vn.pvmgrp.com</vt:lpwstr>
  </property>
  <property fmtid="{D5CDD505-2E9C-101B-9397-08002B2CF9AE}" pid="5" name="MSIP_Label_a40ff457-2133-44b5-a8f3-957e5eb54e11_SetDate">
    <vt:lpwstr>2021-07-08T09:43:17.2959314Z</vt:lpwstr>
  </property>
  <property fmtid="{D5CDD505-2E9C-101B-9397-08002B2CF9AE}" pid="6" name="MSIP_Label_a40ff457-2133-44b5-a8f3-957e5eb54e11_Name">
    <vt:lpwstr>Internal</vt:lpwstr>
  </property>
  <property fmtid="{D5CDD505-2E9C-101B-9397-08002B2CF9AE}" pid="7" name="MSIP_Label_a40ff457-2133-44b5-a8f3-957e5eb54e11_Application">
    <vt:lpwstr>Microsoft Azure Information Protection</vt:lpwstr>
  </property>
  <property fmtid="{D5CDD505-2E9C-101B-9397-08002B2CF9AE}" pid="8" name="MSIP_Label_a40ff457-2133-44b5-a8f3-957e5eb54e11_ActionId">
    <vt:lpwstr>c718e475-378b-4dc1-89da-86d5c02d77ee</vt:lpwstr>
  </property>
  <property fmtid="{D5CDD505-2E9C-101B-9397-08002B2CF9AE}" pid="9" name="MSIP_Label_a40ff457-2133-44b5-a8f3-957e5eb54e11_Extended_MSFT_Method">
    <vt:lpwstr>Automatic</vt:lpwstr>
  </property>
  <property fmtid="{D5CDD505-2E9C-101B-9397-08002B2CF9AE}" pid="10" name="MSIP_Label_1ada0a2f-b917-4d51-b0d0-d418a10c8b23_Enabled">
    <vt:lpwstr>True</vt:lpwstr>
  </property>
  <property fmtid="{D5CDD505-2E9C-101B-9397-08002B2CF9AE}" pid="11" name="MSIP_Label_1ada0a2f-b917-4d51-b0d0-d418a10c8b23_SiteId">
    <vt:lpwstr>12a3af23-a769-4654-847f-958f3d479f4a</vt:lpwstr>
  </property>
  <property fmtid="{D5CDD505-2E9C-101B-9397-08002B2CF9AE}" pid="12" name="MSIP_Label_1ada0a2f-b917-4d51-b0d0-d418a10c8b23_SetDate">
    <vt:lpwstr>2020-12-16T03:15:14Z</vt:lpwstr>
  </property>
  <property fmtid="{D5CDD505-2E9C-101B-9397-08002B2CF9AE}" pid="13" name="MSIP_Label_1ada0a2f-b917-4d51-b0d0-d418a10c8b23_Name">
    <vt:lpwstr>1ada0a2f-b917-4d51-b0d0-d418a10c8b23</vt:lpwstr>
  </property>
  <property fmtid="{D5CDD505-2E9C-101B-9397-08002B2CF9AE}" pid="14" name="MSIP_Label_1ada0a2f-b917-4d51-b0d0-d418a10c8b23_ActionId">
    <vt:lpwstr>add4c117-b7c1-40bc-8a74-962c6f07ea4f</vt:lpwstr>
  </property>
  <property fmtid="{D5CDD505-2E9C-101B-9397-08002B2CF9AE}" pid="15" name="MSIP_Label_1ada0a2f-b917-4d51-b0d0-d418a10c8b23_Extended_MSFT_Method">
    <vt:lpwstr>Automatic</vt:lpwstr>
  </property>
  <property fmtid="{D5CDD505-2E9C-101B-9397-08002B2CF9AE}" pid="16" name="Sensitivity">
    <vt:lpwstr>Internal 1ada0a2f-b917-4d51-b0d0-d418a10c8b23</vt:lpwstr>
  </property>
  <property fmtid="{D5CDD505-2E9C-101B-9397-08002B2CF9AE}" pid="17" name="ContentTypeId">
    <vt:lpwstr>0x010100D44F1856596104458F7199F8B3C5802C</vt:lpwstr>
  </property>
</Properties>
</file>